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9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895"/>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5"/>
        <w:jc w:val="center"/>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射阳县应急管理局射阳县沿海处置中心信息化提升项目（一期）</w:t>
      </w:r>
      <w:r/>
    </w:p>
    <w:p>
      <w:pPr>
        <w:pStyle w:val="895"/>
        <w:ind w:firstLine="964"/>
        <w:jc w:val="both"/>
        <w:spacing w:before="120" w:beforeAutospacing="0" w:after="120" w:afterAutospacing="0" w:line="360" w:lineRule="auto"/>
        <w:rPr>
          <w:rFonts w:hint="default" w:eastAsia="宋体"/>
          <w:highlight w:val="none"/>
          <w:lang w:val="en-US" w:eastAsia="zh-CN"/>
        </w:rPr>
      </w:pPr>
      <w:r>
        <w:rPr>
          <w:rFonts w:ascii="Arial" w:hAnsi="Arial" w:cs="Arial"/>
          <w:b/>
          <w:color w:val="000000"/>
          <w:sz w:val="32"/>
          <w:szCs w:val="32"/>
          <w:highlight w:val="none"/>
        </w:rPr>
        <w:t xml:space="preserve">项目编号：JSZC-320924-JZCG-G2026-0027</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r>
      <w:r/>
    </w:p>
    <w:p>
      <w:pPr>
        <w:pStyle w:val="895"/>
        <w:spacing w:beforeAutospacing="0" w:afterAutospacing="0" w:line="360" w:lineRule="auto"/>
        <w:rPr>
          <w:highlight w:val="none"/>
        </w:rPr>
      </w:pPr>
      <w:r>
        <w:rPr>
          <w:highlight w:val="none"/>
        </w:rPr>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r>
      <w:r/>
    </w:p>
    <w:p>
      <w:pPr>
        <w:pStyle w:val="895"/>
        <w:spacing w:beforeAutospacing="0" w:afterAutospacing="0" w:line="360" w:lineRule="auto"/>
        <w:rPr>
          <w:highlight w:val="none"/>
        </w:rPr>
      </w:pPr>
      <w:r>
        <w:rPr>
          <w:highlight w:val="none"/>
        </w:rPr>
        <w:t xml:space="preserve"> </w:t>
      </w:r>
      <w:r/>
    </w:p>
    <w:p>
      <w:pPr>
        <w:pStyle w:val="895"/>
        <w:jc w:val="center"/>
        <w:spacing w:before="120" w:beforeAutospacing="0" w:after="120" w:afterAutospacing="0" w:line="360" w:lineRule="auto"/>
        <w:rPr>
          <w:rFonts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射阳县应急管理局</w:t>
      </w:r>
      <w:r/>
    </w:p>
    <w:p>
      <w:pPr>
        <w:pStyle w:val="895"/>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6</w:t>
      </w:r>
      <w:r>
        <w:rPr>
          <w:rFonts w:ascii="Arial" w:hAnsi="Arial" w:cs="Arial"/>
          <w:b/>
          <w:color w:val="000000"/>
          <w:sz w:val="32"/>
          <w:szCs w:val="32"/>
          <w:highlight w:val="none"/>
        </w:rPr>
        <w:t xml:space="preserve">月</w:t>
      </w:r>
      <w:r/>
    </w:p>
    <w:p>
      <w:pPr>
        <w:pStyle w:val="895"/>
        <w:spacing w:before="120" w:beforeAutospacing="0" w:after="120" w:afterAutospacing="0" w:line="360" w:lineRule="auto"/>
        <w:rPr>
          <w:highlight w:val="none"/>
        </w:rPr>
      </w:pPr>
      <w:r>
        <w:rPr>
          <w:rFonts w:ascii="Arial" w:hAnsi="Arial" w:cs="Arial"/>
          <w:color w:val="000000"/>
          <w:highlight w:val="none"/>
        </w:rPr>
        <w:t xml:space="preserve">                        </w:t>
      </w:r>
      <w:r/>
    </w:p>
    <w:p>
      <w:pPr>
        <w:pStyle w:val="89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513029200"/>
      <w:r/>
      <w:bookmarkStart w:id="2" w:name="_Toc523127445"/>
      <w:r/>
      <w:bookmarkStart w:id="3" w:name="_Toc120614210"/>
      <w:r/>
      <w:bookmarkStart w:id="4" w:name="_Toc20823272"/>
      <w:r/>
      <w:bookmarkStart w:id="5" w:name="_Toc1693851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95"/>
        <w:jc w:val="both"/>
        <w:spacing w:beforeAutospacing="0" w:afterAutospacing="0" w:line="480" w:lineRule="auto"/>
        <w:rPr>
          <w:highlight w:val="none"/>
        </w:rPr>
      </w:pPr>
      <w:r>
        <w:rPr>
          <w:highlight w:val="none"/>
        </w:rPr>
        <w:t xml:space="preserve"> </w:t>
      </w:r>
      <w:r/>
    </w:p>
    <w:p>
      <w:pPr>
        <w:pStyle w:val="8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p>
    <w:p>
      <w:pPr>
        <w:pStyle w:val="8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19</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40</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44</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49</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r>
      <w:r/>
    </w:p>
    <w:p>
      <w:pPr>
        <w:pStyle w:val="895"/>
        <w:jc w:val="both"/>
        <w:spacing w:beforeAutospacing="0" w:afterAutospacing="0"/>
        <w:rPr>
          <w:highlight w:val="none"/>
        </w:rPr>
      </w:pPr>
      <w:r>
        <w:rPr>
          <w:highlight w:val="none"/>
        </w:rPr>
        <w:t xml:space="preserve"> </w:t>
      </w:r>
      <w:r/>
    </w:p>
    <w:p>
      <w:pPr>
        <w:pStyle w:val="895"/>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95"/>
        <w:jc w:val="both"/>
        <w:spacing w:beforeAutospacing="0" w:afterAutospacing="0" w:line="360" w:lineRule="auto"/>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pStyle w:val="89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射阳县应急管理局射阳县沿海处置中心信息化提升项目（一期）</w:t>
      </w:r>
      <w:r>
        <w:rPr>
          <w:rFonts w:hint="eastAsia" w:ascii="宋体" w:hAnsi="宋体" w:eastAsia="宋体" w:cs="宋体"/>
          <w:color w:val="auto"/>
          <w:sz w:val="24"/>
          <w:szCs w:val="24"/>
          <w:highlight w:val="none"/>
        </w:rPr>
        <w:t xml:space="preserve">的潜在投标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cs="宋体"/>
          <w:color w:val="000000"/>
          <w:u w:val="single"/>
          <w:lang w:val="en-US" w:eastAsia="zh-CN"/>
        </w:rPr>
        <w:t xml:space="preserve">7</w:t>
      </w:r>
      <w:r>
        <w:rPr>
          <w:rFonts w:hint="eastAsia" w:ascii="宋体" w:hAnsi="宋体" w:eastAsia="宋体" w:cs="宋体"/>
          <w:color w:val="000000"/>
          <w:u w:val="single"/>
        </w:rPr>
        <w:t xml:space="preserve">月</w:t>
      </w:r>
      <w:r>
        <w:rPr>
          <w:rFonts w:hint="eastAsia" w:ascii="宋体" w:hAnsi="宋体" w:cs="宋体"/>
          <w:color w:val="000000"/>
          <w:u w:val="single"/>
          <w:lang w:val="en-US" w:eastAsia="zh-CN"/>
        </w:rPr>
        <w:t xml:space="preserve">9</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7" w:name="_Toc35393790"/>
      <w:r/>
      <w:bookmarkStart w:id="8" w:name="_Toc38985263"/>
      <w:r/>
      <w:bookmarkStart w:id="9" w:name="_Toc28359079"/>
      <w:r/>
      <w:bookmarkStart w:id="10" w:name="_Toc35393621"/>
      <w:r/>
      <w:bookmarkStart w:id="11" w:name="_Toc28359002"/>
      <w:r/>
      <w:bookmarkStart w:id="12" w:name="_Hlk24379207"/>
      <w:r>
        <w:rPr>
          <w:rFonts w:hint="eastAsia" w:ascii="宋体" w:hAnsi="宋体" w:eastAsia="宋体" w:cs="宋体"/>
          <w:b/>
          <w:bCs/>
          <w:color w:val="000000"/>
          <w:sz w:val="24"/>
          <w:szCs w:val="24"/>
          <w:lang w:val="en-US" w:eastAsia="zh-CN" w:bidi="ar-SA"/>
        </w:rPr>
        <w:t xml:space="preserve">一、项目基本情况</w:t>
      </w:r>
      <w:bookmarkEnd w:id="7"/>
      <w:r/>
      <w:bookmarkEnd w:id="8"/>
      <w:r/>
      <w:bookmarkEnd w:id="9"/>
      <w:r/>
      <w:bookmarkEnd w:id="10"/>
      <w:r/>
      <w:bookmarkEnd w:id="11"/>
      <w:r/>
      <w:bookmarkEnd w:id="12"/>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1.项目编号：JSZC-320924-JZCG-G2026-0027</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2.项目名称：射阳县应急管理局射阳县沿海处置中心信息化提升项目（一期）</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3.采购方式：公开招标</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4.预算金额：495.35万元</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5.最高限价（如有）：495.35万元，投标人投标报价不得超过该最高限价，否则按无效投标处理。</w:t>
      </w:r>
      <w:r/>
    </w:p>
    <w:p>
      <w:pPr>
        <w:pStyle w:val="890"/>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6.采购需求：射阳县应急管理局对射阳县沿海处置中心信息化提升项目（一期）进行采购，本次招标范围包括：监控雷达、AIS设备、联动光电设备、机柜等设备。采购内容包括以上货物的供应、运输、安装调试及售后等相关伴随服务；具体采购范围及所应达到的具体要求，详见本招标文件中项目需求。</w:t>
      </w:r>
      <w:r/>
    </w:p>
    <w:p>
      <w:pPr>
        <w:pStyle w:val="890"/>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7.合同履行期限：中标单位与采购方签订合同后三个月内供货到采购人指定地点完成安装、调试工作，并经采购人验收合格。</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8.本项目（是/否）接受联合体投标：否</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13" w:name="_Toc28359003"/>
      <w:r/>
      <w:bookmarkStart w:id="14" w:name="_Toc35393622"/>
      <w:r/>
      <w:bookmarkStart w:id="15" w:name="_Toc35393791"/>
      <w:r/>
      <w:bookmarkStart w:id="16" w:name="_Toc38985264"/>
      <w:r/>
      <w:bookmarkStart w:id="17" w:name="_Toc28359080"/>
      <w:r>
        <w:rPr>
          <w:rFonts w:hint="eastAsia" w:ascii="宋体" w:hAnsi="宋体" w:eastAsia="宋体" w:cs="宋体"/>
          <w:b/>
          <w:bCs/>
          <w:color w:val="000000"/>
          <w:sz w:val="24"/>
          <w:szCs w:val="24"/>
          <w:lang w:val="en-US" w:eastAsia="zh-CN" w:bidi="ar-SA"/>
        </w:rPr>
        <w:t xml:space="preserve">二、申请人的资格要求：</w:t>
      </w:r>
      <w:bookmarkEnd w:id="13"/>
      <w:r/>
      <w:bookmarkEnd w:id="14"/>
      <w:r/>
      <w:bookmarkEnd w:id="15"/>
      <w:r/>
      <w:bookmarkEnd w:id="16"/>
      <w:r/>
      <w:bookmarkEnd w:id="17"/>
      <w:r/>
      <w:r/>
    </w:p>
    <w:p>
      <w:pPr>
        <w:pStyle w:val="895"/>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（一）满足《中华人民共和国政府采购法》第二十二条规定：</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1.法人或者其他组织的营业执照等证明文件，自然人的身份证明；</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2.上一年度的财务状况报表（成立不满一年无需提供）；</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4.具备履行合同所必需的设备和专业技术能力的书面声明；</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5.参加政府采购活动前3年内在经营活动中没有重大违法记录的书面声明。</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6.法律、行政法规规定的其他条件</w:t>
      </w:r>
      <w:r/>
    </w:p>
    <w:p>
      <w:pPr>
        <w:pStyle w:val="895"/>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5"/>
        <w:ind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.单位负责人为同一人或者存在直接控股、管理关系的不同供应商，不得参加同一合同项下的政府采购活动。</w:t>
      </w:r>
      <w:r/>
    </w:p>
    <w:p>
      <w:pPr>
        <w:pStyle w:val="895"/>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（二）落实政府采购政策需满足的资格要求：</w:t>
      </w:r>
      <w:r/>
    </w:p>
    <w:p>
      <w:pPr>
        <w:pStyle w:val="890"/>
        <w:numPr>
          <w:ilvl w:val="0"/>
          <w:numId w:val="0"/>
        </w:numPr>
        <w:ind w:firstLine="72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本项目为</w:t>
      </w:r>
      <w:r>
        <w:rPr>
          <w:rFonts w:hint="eastAsia" w:ascii="宋体" w:hAnsi="宋体" w:cs="宋体"/>
          <w:color w:val="000000"/>
          <w:sz w:val="24"/>
          <w:szCs w:val="24"/>
          <w:lang w:val="en-US" w:eastAsia="zh-CN" w:bidi="ar-SA"/>
        </w:rPr>
        <w:t xml:space="preserve">货物</w:t>
      </w:r>
      <w:r>
        <w:rPr>
          <w:rFonts w:hint="eastAsia" w:ascii="宋体" w:hAnsi="宋体" w:eastAsia="宋体" w:cs="宋体"/>
          <w:color w:val="000000"/>
          <w:sz w:val="24"/>
          <w:szCs w:val="24"/>
          <w:lang w:val="en-US" w:eastAsia="zh-CN" w:bidi="ar-SA"/>
        </w:rPr>
        <w:t xml:space="preserve">类采购项目，所属行业为：</w:t>
      </w:r>
      <w:r>
        <w:rPr>
          <w:rFonts w:hint="eastAsia" w:ascii="宋体" w:hAnsi="宋体" w:cs="宋体"/>
          <w:color w:val="000000"/>
          <w:sz w:val="24"/>
          <w:szCs w:val="24"/>
          <w:lang w:val="en-US" w:eastAsia="zh-CN" w:bidi="ar-SA"/>
        </w:rPr>
        <w:t xml:space="preserve">工业</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本</w:t>
      </w:r>
      <w:r>
        <w:rPr>
          <w:rFonts w:hint="eastAsia" w:ascii="宋体" w:hAnsi="宋体" w:eastAsia="宋体" w:cs="宋体"/>
          <w:color w:val="000000"/>
          <w:sz w:val="24"/>
          <w:szCs w:val="24"/>
          <w:lang w:val="en-US" w:eastAsia="zh-CN" w:bidi="ar-SA"/>
        </w:rPr>
        <w:t xml:space="preserve">项目为非预留份额的采购项目，执行价格扣除优惠政策，给予小微型企业、监狱企业或残疾人福利性单位</w:t>
      </w:r>
      <w:r>
        <w:rPr>
          <w:rFonts w:hint="eastAsia" w:ascii="宋体" w:hAnsi="宋体" w:cs="宋体"/>
          <w:color w:val="000000"/>
          <w:sz w:val="24"/>
          <w:szCs w:val="24"/>
          <w:lang w:val="en-US" w:eastAsia="zh-CN" w:bidi="ar-SA"/>
        </w:rPr>
        <w:t xml:space="preserve">报价</w:t>
      </w:r>
      <w:r>
        <w:rPr>
          <w:rFonts w:hint="eastAsia" w:ascii="宋体" w:hAnsi="宋体" w:eastAsia="宋体" w:cs="宋体"/>
          <w:color w:val="000000"/>
          <w:sz w:val="24"/>
          <w:szCs w:val="24"/>
          <w:lang w:val="en-US" w:eastAsia="zh-CN" w:bidi="ar-SA"/>
        </w:rPr>
        <w:t xml:space="preserve">20%的扣除，用扣除后的价格参加评审。价格扣除比例对小型企业和微型企业同等对待，不作区分。监狱企业、残疾人福利单位属于小型、微型企业的，不重复享受政策。</w:t>
      </w:r>
      <w:r/>
    </w:p>
    <w:p>
      <w:pPr>
        <w:pStyle w:val="895"/>
        <w:numPr>
          <w:ilvl w:val="0"/>
          <w:numId w:val="1"/>
        </w:numPr>
        <w:ind w:right="0" w:firstLine="480"/>
        <w:jc w:val="both"/>
        <w:keepLines/>
        <w:keepNext/>
        <w:pageBreakBefore w:val="0"/>
        <w:spacing w:beforeAutospacing="0" w:afterAutospacing="0"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本项目的特定资格要求：无。</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bookmarkStart w:id="18" w:name="_Toc35393624"/>
      <w:r/>
      <w:bookmarkStart w:id="19" w:name="_Toc35393793"/>
      <w:r/>
      <w:bookmarkStart w:id="20" w:name="_Toc28359082"/>
      <w:r/>
      <w:bookmarkStart w:id="21" w:name="_Toc38985266"/>
      <w:r/>
      <w:bookmarkStart w:id="22" w:name="_Toc28359005"/>
      <w:r>
        <w:rPr>
          <w:rFonts w:hint="eastAsia" w:ascii="宋体" w:hAnsi="宋体" w:eastAsia="宋体" w:cs="宋体"/>
          <w:color w:val="000000"/>
          <w:sz w:val="24"/>
          <w:szCs w:val="24"/>
          <w:lang w:val="en-US" w:eastAsia="zh-CN" w:bidi="ar-SA"/>
        </w:rPr>
        <w:t xml:space="preserve">1.时间：</w:t>
      </w:r>
      <w:bookmarkEnd w:id="18"/>
      <w:r/>
      <w:bookmarkEnd w:id="19"/>
      <w:r/>
      <w:bookmarkEnd w:id="20"/>
      <w:r/>
      <w:bookmarkEnd w:id="21"/>
      <w:r/>
      <w:bookmarkEnd w:id="22"/>
      <w:r>
        <w:rPr>
          <w:rFonts w:hint="eastAsia" w:ascii="宋体" w:hAnsi="宋体" w:eastAsia="宋体" w:cs="宋体"/>
          <w:color w:val="000000"/>
          <w:sz w:val="24"/>
          <w:szCs w:val="24"/>
          <w:lang w:val="en-US" w:eastAsia="zh-CN" w:bidi="ar-SA"/>
        </w:rPr>
        <w:t xml:space="preserve">自招标文件公告发布之日起5个工作日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2.地点：“苏采云”系统内免费下载（供应商必须在苏采云系统中获取采购文件，方能参与政府采购项目）</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4.售价：0元</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1.时间：2026-0</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t xml:space="preserve"> 9:00（北京时间）</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2.地点：苏采云“不见面”开标大厅 </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23" w:name="_Toc35393794"/>
      <w:r/>
      <w:bookmarkStart w:id="24" w:name="_Toc28359084"/>
      <w:r/>
      <w:bookmarkStart w:id="25" w:name="_Toc35393625"/>
      <w:r/>
      <w:bookmarkStart w:id="26" w:name="_Toc28359007"/>
      <w:r/>
      <w:bookmarkStart w:id="27" w:name="_Toc38985267"/>
      <w:r>
        <w:rPr>
          <w:rFonts w:hint="eastAsia" w:ascii="宋体" w:hAnsi="宋体" w:eastAsia="宋体" w:cs="宋体"/>
          <w:b/>
          <w:bCs/>
          <w:color w:val="000000"/>
          <w:sz w:val="24"/>
          <w:szCs w:val="24"/>
          <w:lang w:val="en-US" w:eastAsia="zh-CN" w:bidi="ar-SA"/>
        </w:rPr>
        <w:t xml:space="preserve">五、公告期限</w:t>
      </w:r>
      <w:bookmarkEnd w:id="23"/>
      <w:r/>
      <w:bookmarkEnd w:id="24"/>
      <w:r/>
      <w:bookmarkEnd w:id="25"/>
      <w:r/>
      <w:bookmarkEnd w:id="26"/>
      <w:r/>
      <w:bookmarkEnd w:id="2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28" w:name="_Toc38985268"/>
      <w:r/>
      <w:bookmarkStart w:id="29" w:name="_Toc35393626"/>
      <w:r/>
      <w:bookmarkStart w:id="30" w:name="_Toc35393795"/>
      <w:r>
        <w:rPr>
          <w:rFonts w:hint="eastAsia" w:ascii="宋体" w:hAnsi="宋体" w:eastAsia="宋体" w:cs="宋体"/>
          <w:color w:val="000000"/>
          <w:sz w:val="24"/>
          <w:szCs w:val="24"/>
          <w:lang w:val="en-US" w:eastAsia="zh-CN" w:bidi="ar-SA"/>
        </w:rPr>
        <w:t xml:space="preserve">自本公告发布之日起5个工作日。</w:t>
      </w:r>
      <w:bookmarkEnd w:id="28"/>
      <w:r/>
      <w:bookmarkEnd w:id="29"/>
      <w:r/>
      <w:bookmarkEnd w:id="30"/>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六、其他补充事宜</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color w:val="000000"/>
          <w:sz w:val="24"/>
          <w:szCs w:val="24"/>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2.潜在供应商访问电子招标响应交易平台的网络地址和方法： </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2.1“苏采云”系统用户注册--获取“CA 数字证书”--CA 绑定与登录--参与投 标--下载采购文件（后缀名为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kedt”）--将后缀名为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潜在供应商访问“苏采云”系统方法：江苏省政府采购网首页-“苏采云”链接。 </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 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kedt”）、供应商操作手册及政府采购客户端工具可通过“苏采云”系统相应链接进行下载。 </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 采购代理机构将数据电文形式的采购文件加载至“苏采云”系统，供潜在供应商下载或者查阅。 </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 请潜在投标单位提前安装相应的控件（详见《“苏采云”系统供应商操作手册》）并使用谷歌浏览器登录“苏采云”系统参与不见面开评标。 </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如潜在供应商未按上述要求操作，将自行承担所产生的风险。</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3.有关本次招标的事项若存在变动或修改，敬请及时关注射阳县行政服务中心在“中国政府采购网”、“江苏政府采购网”“盐城市政府采购网”发布的更正公告。</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4.本次招标不收取投标保证金，不收取质量保证金。</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七、对本次招标提出询问，请按以下方式联系。</w:t>
      </w:r>
      <w:bookmarkEnd w:id="31"/>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1.采购人信息</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sz w:val="24"/>
          <w:highlight w:val="none"/>
          <w:lang w:val="en-US" w:eastAsia="zh-CN"/>
        </w:rPr>
        <w:t xml:space="preserve">名 称：射阳县应急管理局</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sz w:val="24"/>
          <w:highlight w:val="none"/>
          <w:lang w:val="en-US" w:eastAsia="zh-CN"/>
        </w:rPr>
        <w:t xml:space="preserve">地址：射阳县合德镇解放路24号</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sz w:val="24"/>
          <w:highlight w:val="none"/>
          <w:lang w:val="en-US" w:eastAsia="zh-CN"/>
        </w:rPr>
        <w:t xml:space="preserve">项目联系人：陈   杰</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sz w:val="24"/>
          <w:highlight w:val="none"/>
          <w:lang w:val="en-US" w:eastAsia="zh-CN"/>
        </w:rPr>
        <w:t xml:space="preserve">联系人电话：18012540780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2.采购代理机构信息</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lang w:val="en-US" w:eastAsia="en-US" w:bidi="ar-SA"/>
        </w:rPr>
        <w:t xml:space="preserve">射阳县行政服务中心</w:t>
      </w:r>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 址：盐城市射阳县幸福大道16号</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联系人：彭明静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w:t>
      </w:r>
      <w:bookmarkStart w:id="32" w:name="_Toc28359010"/>
      <w:r/>
      <w:bookmarkStart w:id="33" w:name="_Toc28359087"/>
      <w:r>
        <w:rPr>
          <w:rFonts w:hint="eastAsia" w:ascii="宋体" w:hAnsi="宋体" w:eastAsia="宋体" w:cs="宋体"/>
          <w:color w:val="000000"/>
          <w:sz w:val="24"/>
          <w:szCs w:val="24"/>
          <w:lang w:val="en-US" w:eastAsia="zh-CN" w:bidi="ar-SA"/>
        </w:rPr>
        <w:t xml:space="preserve">0515-82309113       </w:t>
      </w:r>
      <w:bookmarkEnd w:id="32"/>
      <w:r/>
      <w:bookmarkEnd w:id="33"/>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color w:val="000000"/>
          <w:sz w:val="24"/>
          <w:szCs w:val="24"/>
          <w:lang w:val="en-US" w:eastAsia="zh-CN" w:bidi="ar-SA"/>
        </w:rPr>
        <w:t xml:space="preserve">3.</w:t>
      </w:r>
      <w:bookmarkEnd w:id="34"/>
      <w:r>
        <w:rPr>
          <w:rFonts w:hint="eastAsia" w:ascii="宋体" w:hAnsi="宋体" w:eastAsia="宋体" w:cs="宋体"/>
          <w:color w:val="000000"/>
          <w:sz w:val="24"/>
          <w:szCs w:val="24"/>
          <w:lang w:val="en-US" w:eastAsia="zh-CN" w:bidi="ar-SA"/>
        </w:rPr>
        <w:t xml:space="preserve">项目联系方式</w:t>
      </w:r>
      <w:r/>
    </w:p>
    <w:p>
      <w:pPr>
        <w:pStyle w:val="895"/>
        <w:ind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项目联系人：彭明静</w:t>
      </w:r>
      <w:r/>
    </w:p>
    <w:p>
      <w:pPr>
        <w:pStyle w:val="89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电　　 话：0515-82309113　 </w:t>
      </w:r>
      <w:r/>
    </w:p>
    <w:p>
      <w:pPr>
        <w:jc w:val="center"/>
        <w:pageBreakBefore w:val="0"/>
        <w:spacing w:line="440" w:lineRule="exact"/>
        <w:rPr>
          <w:highlight w:val="none"/>
        </w:rPr>
      </w:pPr>
      <w:r>
        <w:rPr>
          <w:rFonts w:hint="eastAsia" w:ascii="宋体" w:hAnsi="宋体" w:eastAsia="宋体" w:cs="宋体"/>
          <w:color w:val="000000"/>
          <w:sz w:val="24"/>
          <w:szCs w:val="24"/>
          <w:lang w:val="en-US" w:eastAsia="zh-CN" w:bidi="ar-SA"/>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513029202"/>
      <w:r/>
      <w:bookmarkStart w:id="38" w:name="_Toc16938518"/>
      <w:r/>
      <w:bookmarkStart w:id="39" w:name="_Toc120614213"/>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40" w:name="_Toc16938519"/>
      <w:r/>
      <w:bookmarkStart w:id="41" w:name="_Toc120614214"/>
      <w:r/>
      <w:bookmarkStart w:id="42" w:name="_Toc20823275"/>
      <w:r/>
      <w:bookmarkStart w:id="43" w:name="_Toc513029203"/>
      <w:r/>
      <w:bookmarkStart w:id="44" w:name="_Hlt26954846"/>
      <w:r/>
      <w:bookmarkStart w:id="45" w:name="_Hlt26954852"/>
      <w:r/>
      <w:bookmarkStart w:id="46" w:name="_Hlt26954731"/>
      <w:r/>
      <w:bookmarkStart w:id="47" w:name="_Hlt26954838"/>
      <w:r/>
      <w:bookmarkStart w:id="48" w:name="_Hlt26954848"/>
      <w:r/>
      <w:bookmarkStart w:id="49" w:name="_Toc513029226"/>
      <w:r/>
      <w:bookmarkStart w:id="50" w:name="_Hlt26668975"/>
      <w:r/>
      <w:bookmarkStart w:id="51" w:name="_Hlt26954739"/>
      <w:r/>
      <w:bookmarkStart w:id="52" w:name="_Hlt26670482"/>
      <w:r/>
      <w:bookmarkStart w:id="53" w:name="_Hlt16619475"/>
      <w:r/>
      <w:bookmarkStart w:id="54" w:name="_Hlt26670360"/>
      <w:r/>
      <w:bookmarkStart w:id="55" w:name="_Hlt26670486"/>
      <w:r>
        <w:rPr>
          <w:rFonts w:hint="eastAsia" w:ascii="宋体" w:hAnsi="宋体" w:eastAsia="宋体" w:cs="宋体"/>
          <w:b/>
          <w:bCs/>
          <w:color w:val="000000"/>
          <w:sz w:val="28"/>
          <w:szCs w:val="28"/>
          <w:lang w:val="en-US" w:eastAsia="zh-CN" w:bidi="ar-SA"/>
        </w:rPr>
        <w:t xml:space="preserve">一、总则</w:t>
      </w:r>
      <w:bookmarkEnd w:id="40"/>
      <w:r/>
      <w:bookmarkEnd w:id="41"/>
      <w:r/>
      <w:bookmarkEnd w:id="42"/>
      <w:r/>
      <w:bookmarkEnd w:id="4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56" w:name="_Toc20823276"/>
      <w:r/>
      <w:bookmarkStart w:id="57" w:name="_Toc16938520"/>
      <w:r/>
      <w:bookmarkStart w:id="58" w:name="_Toc458694821"/>
      <w:r/>
      <w:bookmarkStart w:id="59" w:name="_Toc513029204"/>
      <w:r>
        <w:rPr>
          <w:rFonts w:hint="eastAsia" w:ascii="宋体" w:hAnsi="宋体" w:eastAsia="宋体" w:cs="宋体"/>
          <w:color w:val="000000"/>
          <w:sz w:val="24"/>
          <w:szCs w:val="24"/>
          <w:lang w:val="en-US" w:eastAsia="zh-CN" w:bidi="ar-SA"/>
        </w:rPr>
        <w:t xml:space="preserve">1</w:t>
      </w:r>
      <w:bookmarkEnd w:id="56"/>
      <w:r>
        <w:rPr>
          <w:rFonts w:hint="eastAsia" w:ascii="宋体" w:hAnsi="宋体" w:eastAsia="宋体" w:cs="宋体"/>
          <w:color w:val="000000"/>
          <w:sz w:val="24"/>
          <w:szCs w:val="24"/>
          <w:lang w:val="en-US" w:eastAsia="zh-CN" w:bidi="ar-SA"/>
        </w:rPr>
        <w:t xml:space="preserve">、招标方式</w:t>
      </w:r>
      <w:bookmarkEnd w:id="57"/>
      <w:r/>
      <w:bookmarkEnd w:id="58"/>
      <w:r/>
      <w:bookmarkEnd w:id="5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 本次招标采取公开招标方式，本招标文件仅适用于招标公告中所述项目。</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0" w:name="_Toc16938521"/>
      <w:r/>
      <w:bookmarkStart w:id="61" w:name="_Toc513029205"/>
      <w:r/>
      <w:bookmarkStart w:id="62" w:name="_Toc20823277"/>
      <w:r>
        <w:rPr>
          <w:rFonts w:hint="eastAsia" w:ascii="宋体" w:hAnsi="宋体" w:eastAsia="宋体" w:cs="宋体"/>
          <w:color w:val="000000"/>
          <w:sz w:val="24"/>
          <w:szCs w:val="24"/>
          <w:lang w:val="en-US" w:eastAsia="zh-CN" w:bidi="ar-SA"/>
        </w:rPr>
        <w:t xml:space="preserve">2、合格的</w:t>
      </w:r>
      <w:bookmarkEnd w:id="60"/>
      <w:r/>
      <w:bookmarkEnd w:id="61"/>
      <w:r/>
      <w:bookmarkEnd w:id="62"/>
      <w:r>
        <w:rPr>
          <w:rFonts w:hint="eastAsia" w:ascii="宋体" w:hAnsi="宋体" w:eastAsia="宋体" w:cs="宋体"/>
          <w:color w:val="000000"/>
          <w:sz w:val="24"/>
          <w:szCs w:val="24"/>
          <w:lang w:val="en-US" w:eastAsia="zh-CN" w:bidi="ar-SA"/>
        </w:rPr>
        <w:t xml:space="preserve">供应商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2.1满足招标公告中供应商的资格要求的规定。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满足本文件实质性要求和条件的规定。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3" w:name="_Toc16938522"/>
      <w:r/>
      <w:bookmarkStart w:id="64" w:name="_Toc513029206"/>
      <w:r/>
      <w:bookmarkStart w:id="65" w:name="_Toc20823278"/>
      <w:r>
        <w:rPr>
          <w:rFonts w:hint="eastAsia" w:ascii="宋体" w:hAnsi="宋体" w:eastAsia="宋体" w:cs="宋体"/>
          <w:color w:val="000000"/>
          <w:sz w:val="24"/>
          <w:szCs w:val="24"/>
          <w:lang w:val="en-US" w:eastAsia="zh-CN" w:bidi="ar-SA"/>
        </w:rPr>
        <w:t xml:space="preserve">3、适用法律</w:t>
      </w:r>
      <w:bookmarkEnd w:id="63"/>
      <w:r/>
      <w:bookmarkEnd w:id="64"/>
      <w:r/>
      <w:bookmarkEnd w:id="6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 本次招标及由此产生的合同受中华人民共和国有关的法律法规制约和保护。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6" w:name="_Toc462564067"/>
      <w:r/>
      <w:bookmarkStart w:id="67" w:name="_Toc16938523"/>
      <w:r/>
      <w:bookmarkStart w:id="68" w:name="_Toc20823279"/>
      <w:r/>
      <w:bookmarkStart w:id="69" w:name="_Toc513029207"/>
      <w:r>
        <w:rPr>
          <w:rFonts w:hint="eastAsia" w:ascii="宋体" w:hAnsi="宋体" w:eastAsia="宋体" w:cs="宋体"/>
          <w:color w:val="000000"/>
          <w:sz w:val="24"/>
          <w:szCs w:val="24"/>
          <w:lang w:val="en-US" w:eastAsia="zh-CN" w:bidi="ar-SA"/>
        </w:rPr>
        <w:t xml:space="preserve">4、投标费用</w:t>
      </w:r>
      <w:bookmarkEnd w:id="66"/>
      <w:r/>
      <w:bookmarkEnd w:id="67"/>
      <w:r/>
      <w:bookmarkEnd w:id="68"/>
      <w:r/>
      <w:bookmarkEnd w:id="6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4.1 供应商应自行承担所有与参加投标有关的费用，无论投标过程中的做法和结果如何，射阳县行政服务中心（以下简称采购中心）在任何情况下均无义务和责任承担这些费用。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4.2本次招标采购人不收取标书工本费。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5、招标文件的约束力</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5.1 供应商一旦参加本项目采购活动，即被认为接受了本招标文件的规定和约束。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70" w:name="_Toc16938525"/>
      <w:r/>
      <w:bookmarkStart w:id="71" w:name="_Toc513029209"/>
      <w:r/>
      <w:bookmarkStart w:id="72" w:name="_Toc120614215"/>
      <w:r/>
      <w:bookmarkStart w:id="73" w:name="_Toc20823281"/>
      <w:r>
        <w:rPr>
          <w:rFonts w:hint="eastAsia" w:ascii="宋体" w:hAnsi="宋体" w:eastAsia="宋体" w:cs="宋体"/>
          <w:b/>
          <w:bCs/>
          <w:color w:val="000000"/>
          <w:sz w:val="28"/>
          <w:szCs w:val="28"/>
          <w:lang w:val="en-US" w:eastAsia="zh-CN" w:bidi="ar-SA"/>
        </w:rPr>
        <w:t xml:space="preserve">二、招标文件</w:t>
      </w:r>
      <w:bookmarkEnd w:id="70"/>
      <w:r/>
      <w:bookmarkEnd w:id="71"/>
      <w:r/>
      <w:bookmarkEnd w:id="72"/>
      <w:r/>
      <w:bookmarkEnd w:id="7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4" w:name="_Toc20823282"/>
      <w:r/>
      <w:bookmarkStart w:id="75" w:name="_Toc513029210"/>
      <w:r/>
      <w:bookmarkStart w:id="76" w:name="_Toc16938526"/>
      <w:r>
        <w:rPr>
          <w:rFonts w:hint="eastAsia" w:ascii="宋体" w:hAnsi="宋体" w:eastAsia="宋体" w:cs="宋体"/>
          <w:color w:val="000000"/>
          <w:sz w:val="24"/>
          <w:szCs w:val="24"/>
          <w:lang w:val="en-US" w:eastAsia="zh-CN" w:bidi="ar-SA"/>
        </w:rPr>
        <w:t xml:space="preserve">6、招标文件构成</w:t>
      </w:r>
      <w:bookmarkEnd w:id="74"/>
      <w:r/>
      <w:bookmarkEnd w:id="75"/>
      <w:r/>
      <w:bookmarkEnd w:id="76"/>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6.1 招标文件由以下部分组成：</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（1）招标公告</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（2）供应商须知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（3）合同文本</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（4）采购需求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（5）评标方法与评标标准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（6）投标文件格式</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请仔细检查招标文件是否齐全，如有缺漏请立即与采购人联系解决。</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7" w:name="_Toc20823283"/>
      <w:r/>
      <w:bookmarkStart w:id="78" w:name="_Toc16938527"/>
      <w:r/>
      <w:bookmarkStart w:id="79" w:name="_Toc462564070"/>
      <w:r/>
      <w:bookmarkStart w:id="80" w:name="_Toc513029211"/>
      <w:r>
        <w:rPr>
          <w:rFonts w:hint="eastAsia" w:ascii="宋体" w:hAnsi="宋体" w:eastAsia="宋体" w:cs="宋体"/>
          <w:color w:val="000000"/>
          <w:sz w:val="24"/>
          <w:szCs w:val="24"/>
          <w:lang w:val="en-US" w:eastAsia="zh-CN" w:bidi="ar-SA"/>
        </w:rPr>
        <w:t xml:space="preserve">7、招标文件的澄清</w:t>
      </w:r>
      <w:bookmarkEnd w:id="77"/>
      <w:r/>
      <w:bookmarkEnd w:id="78"/>
      <w:r/>
      <w:bookmarkEnd w:id="79"/>
      <w:r/>
      <w:bookmarkEnd w:id="80"/>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7.1 任何要求对招标文件进行澄清的供应商，应在投标截止期十日前按招标公告中的通讯地址，以书面形式通知采购人。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81" w:name="_Toc16938528"/>
      <w:r/>
      <w:bookmarkStart w:id="82" w:name="_Toc462564071"/>
      <w:r/>
      <w:bookmarkStart w:id="83" w:name="_Toc513029212"/>
      <w:r/>
      <w:bookmarkStart w:id="84" w:name="_Toc20823284"/>
      <w:r>
        <w:rPr>
          <w:rFonts w:hint="eastAsia" w:ascii="宋体" w:hAnsi="宋体" w:eastAsia="宋体" w:cs="宋体"/>
          <w:color w:val="000000"/>
          <w:sz w:val="24"/>
          <w:szCs w:val="24"/>
          <w:lang w:val="en-US" w:eastAsia="zh-CN" w:bidi="ar-SA"/>
        </w:rPr>
        <w:t xml:space="preserve">8、招标文件的修改</w:t>
      </w:r>
      <w:bookmarkEnd w:id="81"/>
      <w:r/>
      <w:bookmarkEnd w:id="82"/>
      <w:r/>
      <w:bookmarkEnd w:id="83"/>
      <w:r/>
      <w:bookmarkEnd w:id="84"/>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8.1 在投标截止时间前，采购人可以对招标文件进行修改。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8.2 采购人有权按照法定的要求推迟投标截止日期和开标日期。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8.3 招标文件的修改将在中国政府采购网、江苏政府采购网、盐城市政府采购网公布，补充文件将作为招标文件的组成部分，并对供应商具有约束力。</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85" w:name="_Toc20823285"/>
      <w:r/>
      <w:bookmarkStart w:id="86" w:name="_Toc16938529"/>
      <w:r/>
      <w:bookmarkStart w:id="87" w:name="_Toc120614216"/>
      <w:r/>
      <w:bookmarkStart w:id="88" w:name="_Toc462564072"/>
      <w:r/>
      <w:bookmarkStart w:id="89" w:name="_Toc513029213"/>
      <w:r>
        <w:rPr>
          <w:rFonts w:hint="eastAsia" w:ascii="宋体" w:hAnsi="宋体" w:eastAsia="宋体" w:cs="宋体"/>
          <w:b/>
          <w:bCs/>
          <w:color w:val="000000"/>
          <w:sz w:val="28"/>
          <w:szCs w:val="28"/>
          <w:lang w:val="en-US" w:eastAsia="zh-CN" w:bidi="ar-SA"/>
        </w:rPr>
        <w:t xml:space="preserve">三、投标文件的编制</w:t>
      </w:r>
      <w:bookmarkEnd w:id="85"/>
      <w:r/>
      <w:bookmarkEnd w:id="86"/>
      <w:r/>
      <w:bookmarkEnd w:id="87"/>
      <w:r/>
      <w:bookmarkEnd w:id="88"/>
      <w:r/>
      <w:bookmarkEnd w:id="8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0" w:name="_Toc20823286"/>
      <w:r/>
      <w:bookmarkStart w:id="91" w:name="_Toc462564073"/>
      <w:r/>
      <w:bookmarkStart w:id="92" w:name="_Toc513029214"/>
      <w:r/>
      <w:bookmarkStart w:id="93" w:name="_Toc16938530"/>
      <w:r>
        <w:rPr>
          <w:rFonts w:hint="eastAsia" w:ascii="宋体" w:hAnsi="宋体" w:eastAsia="宋体" w:cs="宋体"/>
          <w:color w:val="000000"/>
          <w:sz w:val="24"/>
          <w:szCs w:val="24"/>
          <w:lang w:val="en-US" w:eastAsia="zh-CN" w:bidi="ar-SA"/>
        </w:rPr>
        <w:t xml:space="preserve">9、投标文件的语言及度量衡单位</w:t>
      </w:r>
      <w:bookmarkEnd w:id="90"/>
      <w:r/>
      <w:bookmarkEnd w:id="91"/>
      <w:r/>
      <w:bookmarkEnd w:id="92"/>
      <w:r/>
      <w:bookmarkEnd w:id="9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9.1 供应商提交的投标文件以及供应商与采购中心就有关投标的所有来往通知、函件和文件均应使用简体中文。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9.2 除技术性能另有规定外，投标文件所使用的度量衡单位，均须采用国家法定计量单位。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4" w:name="_Toc20823287"/>
      <w:r/>
      <w:bookmarkStart w:id="95" w:name="_Toc462564074"/>
      <w:r/>
      <w:bookmarkStart w:id="96" w:name="_Toc513029215"/>
      <w:r/>
      <w:bookmarkStart w:id="97" w:name="_Toc16938531"/>
      <w:r>
        <w:rPr>
          <w:rFonts w:hint="eastAsia" w:ascii="宋体" w:hAnsi="宋体" w:eastAsia="宋体" w:cs="宋体"/>
          <w:color w:val="000000"/>
          <w:sz w:val="24"/>
          <w:szCs w:val="24"/>
          <w:lang w:val="en-US" w:eastAsia="zh-CN" w:bidi="ar-SA"/>
        </w:rPr>
        <w:t xml:space="preserve">10、投标文件构成</w:t>
      </w:r>
      <w:bookmarkEnd w:id="94"/>
      <w:r/>
      <w:bookmarkEnd w:id="95"/>
      <w:r/>
      <w:bookmarkEnd w:id="96"/>
      <w:r/>
      <w:bookmarkEnd w:id="9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10.1 供应商编写的投标文件应包括资格证明文件、符合性证明文件、投标分项报价表、技术要求响应及偏离表、商务要求响应及偏离表、其他证明文件、投标函、开标一览表等部分。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8" w:name="_Toc513029216"/>
      <w:r/>
      <w:bookmarkStart w:id="99" w:name="_Toc49090508"/>
      <w:r/>
      <w:bookmarkStart w:id="100" w:name="_Toc49090509"/>
      <w:r/>
      <w:bookmarkStart w:id="101" w:name="_Toc513029219"/>
      <w:r/>
      <w:bookmarkStart w:id="102" w:name="_Toc14577354"/>
      <w:r/>
      <w:bookmarkStart w:id="103" w:name="_Toc49090507"/>
      <w:r/>
      <w:bookmarkStart w:id="104" w:name="_Toc14577355"/>
      <w:r/>
      <w:bookmarkStart w:id="105" w:name="_Toc14577357"/>
      <w:r>
        <w:rPr>
          <w:rFonts w:hint="eastAsia" w:ascii="宋体" w:hAnsi="宋体" w:eastAsia="宋体" w:cs="宋体"/>
          <w:color w:val="000000"/>
          <w:sz w:val="24"/>
          <w:szCs w:val="24"/>
          <w:lang w:val="en-US" w:eastAsia="zh-CN" w:bidi="ar-SA"/>
        </w:rPr>
        <w:t xml:space="preserve">11、证明供应商及投标标的符合招标文件规定的文件</w:t>
      </w:r>
      <w:bookmarkEnd w:id="98"/>
      <w:r/>
      <w:bookmarkEnd w:id="99"/>
      <w:r/>
      <w:bookmarkEnd w:id="100"/>
      <w:r/>
      <w:bookmarkEnd w:id="101"/>
      <w:r/>
      <w:bookmarkEnd w:id="102"/>
      <w:r/>
      <w:bookmarkEnd w:id="103"/>
      <w:r/>
      <w:bookmarkEnd w:id="104"/>
      <w:r/>
      <w:bookmarkEnd w:id="10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11.1 供应商应按照招标文件要求提交证明文件，证明其及投标标的符合招标文件规定。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11.2招标文件对证明文件无明确形式要求的，证明文件可以以文字资料、图纸和数据等形式提交。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12、投标分项报价表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12.1 供应商应按照招标文件规定格式填报投标分项报价表。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12.2投标货币。投标文件中的单价和总价无特殊规定的采用人民币报价，以元为单位标注。招标文件中另有规定的按规定执行。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13、技术要求响应及偏离表、商务要求响应及偏离表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13.1供应商需对招标文件中的技术要求与商务要求逐项作出响应或偏离，并说明原因。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13.2 供应商可在投标文件中提供认为需要的其他技术文件或说明。</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14、服务承诺、培训计划、人员安排及其他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14.1 供应商需根据招标文件要求提供有关售后服务的管理制度，售后服务机构的分布情况，售后服务人员的数量、素质、技术水平及售后服务的反应能力等。</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14.2 供应商需根据招标文件要求提供培训计划。</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14.3供应商需根据招标文件要求提供所投标的的主要组成部分、功能设计、实现思路及关键技术等。</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6" w:name="_Toc49090510"/>
      <w:r/>
      <w:bookmarkStart w:id="107" w:name="_Toc14577359"/>
      <w:r>
        <w:rPr>
          <w:rFonts w:hint="eastAsia" w:ascii="宋体" w:hAnsi="宋体" w:eastAsia="宋体" w:cs="宋体"/>
          <w:color w:val="000000"/>
          <w:sz w:val="24"/>
          <w:szCs w:val="24"/>
          <w:lang w:val="en-US" w:eastAsia="zh-CN" w:bidi="ar-SA"/>
        </w:rPr>
        <w:t xml:space="preserve">15、投标函和开标一览表</w:t>
      </w:r>
      <w:bookmarkEnd w:id="106"/>
      <w:r/>
      <w:bookmarkEnd w:id="10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15.1 供应商应按照招标文件中提供的格式完整、正确填写投标函、开标一览表。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8" w:name="_Toc49090511"/>
      <w:r/>
      <w:bookmarkStart w:id="109" w:name="_Toc14577360"/>
      <w:r>
        <w:rPr>
          <w:rFonts w:hint="eastAsia" w:ascii="宋体" w:hAnsi="宋体" w:eastAsia="宋体" w:cs="宋体"/>
          <w:color w:val="000000"/>
          <w:sz w:val="24"/>
          <w:szCs w:val="24"/>
          <w:lang w:val="en-US" w:eastAsia="zh-CN" w:bidi="ar-SA"/>
        </w:rPr>
        <w:t xml:space="preserve">16、投标有效期</w:t>
      </w:r>
      <w:bookmarkEnd w:id="108"/>
      <w:r/>
      <w:bookmarkEnd w:id="10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16.1投标有效期为采购人规定的开标之日后</w:t>
      </w:r>
      <w:r>
        <w:rPr>
          <w:rFonts w:hint="eastAsia" w:ascii="宋体" w:hAnsi="宋体" w:eastAsia="宋体" w:cs="宋体"/>
          <w:b/>
          <w:bCs/>
          <w:color w:val="000000"/>
          <w:sz w:val="24"/>
          <w:szCs w:val="24"/>
          <w:u w:val="single"/>
          <w:lang w:val="en-US" w:eastAsia="zh-CN" w:bidi="ar-SA"/>
        </w:rPr>
        <w:t xml:space="preserve">九十（90）天</w:t>
      </w:r>
      <w:r>
        <w:rPr>
          <w:rFonts w:hint="eastAsia" w:ascii="宋体" w:hAnsi="宋体" w:eastAsia="宋体" w:cs="宋体"/>
          <w:color w:val="000000"/>
          <w:sz w:val="24"/>
          <w:szCs w:val="24"/>
          <w:lang w:val="en-US" w:eastAsia="zh-CN" w:bidi="ar-SA"/>
        </w:rPr>
        <w:t xml:space="preserve">。投标有效期比规定短的将被视为未实质性响应招标文件而予以拒绝。</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17、投标有效期的延长</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10" w:name="_Toc16938540"/>
      <w:r/>
      <w:bookmarkStart w:id="111" w:name="_Toc20823296"/>
      <w:r/>
      <w:bookmarkStart w:id="112" w:name="_Toc513029224"/>
      <w:r/>
      <w:bookmarkStart w:id="113" w:name="_Toc120614217"/>
      <w:r>
        <w:rPr>
          <w:rFonts w:hint="eastAsia" w:ascii="宋体" w:hAnsi="宋体" w:eastAsia="宋体" w:cs="宋体"/>
          <w:b/>
          <w:bCs/>
          <w:color w:val="000000"/>
          <w:sz w:val="28"/>
          <w:szCs w:val="28"/>
          <w:lang w:val="en-US" w:eastAsia="zh-CN" w:bidi="ar-SA"/>
        </w:rPr>
        <w:t xml:space="preserve">四、投标文件的递交</w:t>
      </w:r>
      <w:bookmarkEnd w:id="110"/>
      <w:r/>
      <w:bookmarkEnd w:id="111"/>
      <w:r/>
      <w:bookmarkEnd w:id="112"/>
      <w:r/>
      <w:bookmarkEnd w:id="11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14" w:name="_Toc20823297"/>
      <w:r/>
      <w:bookmarkStart w:id="115" w:name="_Toc462564084"/>
      <w:r/>
      <w:bookmarkStart w:id="116" w:name="_Toc16938541"/>
      <w:r/>
      <w:bookmarkStart w:id="117" w:name="_Toc513029225"/>
      <w:r>
        <w:rPr>
          <w:rFonts w:hint="eastAsia" w:ascii="宋体" w:hAnsi="宋体" w:eastAsia="宋体" w:cs="宋体"/>
          <w:color w:val="000000"/>
          <w:sz w:val="24"/>
          <w:szCs w:val="24"/>
          <w:lang w:val="en-US" w:eastAsia="zh-CN" w:bidi="ar-SA"/>
        </w:rPr>
        <w:t xml:space="preserve">18、电子投标文件</w:t>
      </w:r>
      <w:bookmarkEnd w:id="114"/>
      <w:r/>
      <w:bookmarkEnd w:id="115"/>
      <w:r/>
      <w:bookmarkEnd w:id="116"/>
      <w:r/>
      <w:bookmarkEnd w:id="117"/>
      <w:r>
        <w:rPr>
          <w:rFonts w:hint="eastAsia" w:ascii="宋体" w:hAnsi="宋体" w:eastAsia="宋体" w:cs="宋体"/>
          <w:color w:val="000000"/>
          <w:sz w:val="24"/>
          <w:szCs w:val="24"/>
          <w:lang w:val="en-US" w:eastAsia="zh-CN" w:bidi="ar-SA"/>
        </w:rPr>
        <w:t xml:space="preserve">的递交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18.1供应商应当按照《操作手册》规定，在投标截止时间前制作并上传电子投标文件。</w:t>
      </w:r>
      <w:bookmarkStart w:id="118" w:name="_Toc16938542"/>
      <w:r/>
      <w:bookmarkEnd w:id="118"/>
      <w:r/>
      <w:bookmarkStart w:id="119" w:name="_Toc20823298"/>
      <w:r/>
      <w:bookmarkEnd w:id="11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19、投标截止日期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color w:val="000000"/>
          <w:sz w:val="24"/>
          <w:szCs w:val="24"/>
          <w:u w:val="single"/>
          <w:lang w:val="en-US" w:eastAsia="zh-CN" w:bidi="ar-SA"/>
        </w:rPr>
        <w:t xml:space="preserve">19.1 供应商上传电子投标文件的时间不得迟于招标公告中规定的投标截止时间。</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供应商应充分考虑到网络环境、网络带宽等风险因素，如因供应商自身原因造成的电子投标文件上传不成功的按照本招标文件第二章第27.1.2条规定</w:t>
      </w:r>
      <w:r>
        <w:rPr>
          <w:rFonts w:hint="eastAsia" w:ascii="宋体" w:hAnsi="宋体" w:cs="宋体"/>
          <w:color w:val="000000"/>
          <w:sz w:val="24"/>
          <w:szCs w:val="24"/>
          <w:lang w:val="en-US" w:eastAsia="zh-CN" w:bidi="ar-SA"/>
        </w:rPr>
        <w:t xml:space="preserve">作无效投标</w:t>
      </w:r>
      <w:r>
        <w:rPr>
          <w:rFonts w:hint="eastAsia" w:ascii="宋体" w:hAnsi="宋体" w:eastAsia="宋体" w:cs="宋体"/>
          <w:color w:val="000000"/>
          <w:sz w:val="24"/>
          <w:szCs w:val="24"/>
          <w:lang w:val="en-US" w:eastAsia="zh-CN" w:bidi="ar-SA"/>
        </w:rPr>
        <w:t xml:space="preserve">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19.2 采购人可以按照规定，通过修改招标文件酌情延长投标截止日期，在此情况下，供应商的所有权利和义务以及供应商受制的截止日期均应以延长后新的截止日期为准。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0" w:name="_Toc20823299"/>
      <w:r/>
      <w:bookmarkStart w:id="121" w:name="_Toc16938543"/>
      <w:r/>
      <w:bookmarkStart w:id="122" w:name="_Toc513029227"/>
      <w:r>
        <w:rPr>
          <w:rFonts w:hint="eastAsia" w:ascii="宋体" w:hAnsi="宋体" w:eastAsia="宋体" w:cs="宋体"/>
          <w:color w:val="000000"/>
          <w:sz w:val="24"/>
          <w:szCs w:val="24"/>
          <w:lang w:val="en-US" w:eastAsia="zh-CN" w:bidi="ar-SA"/>
        </w:rPr>
        <w:t xml:space="preserve">20、投标文件</w:t>
      </w:r>
      <w:bookmarkEnd w:id="120"/>
      <w:r/>
      <w:bookmarkEnd w:id="121"/>
      <w:r/>
      <w:bookmarkEnd w:id="122"/>
      <w:r>
        <w:rPr>
          <w:rFonts w:hint="eastAsia" w:ascii="宋体" w:hAnsi="宋体" w:eastAsia="宋体" w:cs="宋体"/>
          <w:color w:val="000000"/>
          <w:sz w:val="24"/>
          <w:szCs w:val="24"/>
          <w:lang w:val="en-US" w:eastAsia="zh-CN" w:bidi="ar-SA"/>
        </w:rPr>
        <w:t xml:space="preserve">的拒收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20.1 采购中心拒绝接收在其规定的投标截止时间后上传的任何投标文件。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3" w:name="_Toc513029228"/>
      <w:r/>
      <w:bookmarkStart w:id="124" w:name="_Toc20823300"/>
      <w:r/>
      <w:bookmarkStart w:id="125" w:name="_Toc16938544"/>
      <w:r>
        <w:rPr>
          <w:rFonts w:hint="eastAsia" w:ascii="宋体" w:hAnsi="宋体" w:eastAsia="宋体" w:cs="宋体"/>
          <w:color w:val="000000"/>
          <w:sz w:val="24"/>
          <w:szCs w:val="24"/>
          <w:lang w:val="en-US" w:eastAsia="zh-CN" w:bidi="ar-SA"/>
        </w:rPr>
        <w:t xml:space="preserve">21、投标文件的撤回和修改</w:t>
      </w:r>
      <w:bookmarkEnd w:id="123"/>
      <w:r/>
      <w:bookmarkEnd w:id="124"/>
      <w:r/>
      <w:bookmarkEnd w:id="12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 投标文件的撤回</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21.1.1 电子投标文件的撤回</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供应商可在投标截止时间前，撤回其电子投标文件，具体操作方法见《操作手册》。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21.1.2 供应商撤回电子投标文件，则认为其不再参与本项目投标活动。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 投标文件的修改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21.2.1供应商可在投标截止时间前，对其电子投标文件进行修改，具体操作方法见《操作手册》。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21.2.2 在投标截止时间之后，供应商不得对其电子投标文件作任何修改。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21.3 在投标截止时间至招标文件中规定的投标有效期满之间的这段时间内，供应商不得撤回其投标。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26" w:name="_Toc16938545"/>
      <w:r/>
      <w:bookmarkStart w:id="127" w:name="_Toc120614218"/>
      <w:r/>
      <w:bookmarkStart w:id="128" w:name="_Toc20823301"/>
      <w:r/>
      <w:bookmarkStart w:id="129" w:name="_Toc513029229"/>
      <w:r>
        <w:rPr>
          <w:rFonts w:hint="eastAsia" w:ascii="宋体" w:hAnsi="宋体" w:eastAsia="宋体" w:cs="宋体"/>
          <w:b/>
          <w:bCs/>
          <w:color w:val="000000"/>
          <w:sz w:val="28"/>
          <w:szCs w:val="28"/>
          <w:lang w:val="en-US" w:eastAsia="zh-CN" w:bidi="ar-SA"/>
        </w:rPr>
        <w:t xml:space="preserve">五、开标与评标</w:t>
      </w:r>
      <w:bookmarkEnd w:id="126"/>
      <w:r/>
      <w:bookmarkEnd w:id="127"/>
      <w:r/>
      <w:bookmarkEnd w:id="128"/>
      <w:r/>
      <w:bookmarkEnd w:id="12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0" w:name="_Toc16938546"/>
      <w:r/>
      <w:bookmarkStart w:id="131" w:name="_Toc513029230"/>
      <w:r/>
      <w:bookmarkStart w:id="132" w:name="_Toc20823302"/>
      <w:r>
        <w:rPr>
          <w:rFonts w:hint="eastAsia" w:ascii="宋体" w:hAnsi="宋体" w:eastAsia="宋体" w:cs="宋体"/>
          <w:color w:val="000000"/>
          <w:sz w:val="24"/>
          <w:szCs w:val="24"/>
          <w:lang w:val="en-US" w:eastAsia="zh-CN" w:bidi="ar-SA"/>
        </w:rPr>
        <w:t xml:space="preserve">22、开标</w:t>
      </w:r>
      <w:bookmarkEnd w:id="130"/>
      <w:r/>
      <w:bookmarkEnd w:id="131"/>
      <w:r/>
      <w:bookmarkEnd w:id="132"/>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22.1 采购人将在招标公告中规定的时间和地点组织公开开标。供应商应当按照《操作手册》规定，参加开标活动和在苏采云系统规定的时间内对投标文件进行解密。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22.2开标仪式由采购中心组织。苏采云系统将自动对项目进行开标，并宣布各供应商名称和投标价格。</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22.3供应商在开标过程中涉及到的投标文件解密、开标结果确认等工作，应按照《操作手册》规定执行。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22.4供应商如果对开标过程和开标记录有疑义，应当根据《操作手册》规定提出，如 苏采云系统中《开标记录表》宣布后5分钟内未提出的，视同认可开标结果。</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3" w:name="_Toc16938547"/>
      <w:r/>
      <w:bookmarkStart w:id="134" w:name="_Toc513029231"/>
      <w:r/>
      <w:bookmarkStart w:id="135" w:name="_Toc20823303"/>
      <w:r>
        <w:rPr>
          <w:rFonts w:hint="eastAsia" w:ascii="宋体" w:hAnsi="宋体" w:eastAsia="宋体" w:cs="宋体"/>
          <w:color w:val="000000"/>
          <w:sz w:val="24"/>
          <w:szCs w:val="24"/>
          <w:lang w:val="en-US" w:eastAsia="zh-CN" w:bidi="ar-SA"/>
        </w:rPr>
        <w:t xml:space="preserve">23、评标委员会</w:t>
      </w:r>
      <w:bookmarkEnd w:id="133"/>
      <w:r/>
      <w:bookmarkEnd w:id="134"/>
      <w:r/>
      <w:bookmarkEnd w:id="13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23.1 开标后，采购中心将立即组织评标委员会（以下简称评委会）进行评标。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23.2 评委会由采购人代表和有关技术、经济等方面的专家组成，且人员构成符合政府采购有关规定。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23.3评委会独立工作，负责评审所有投标文件并确定中标候选人。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t xml:space="preserve">评标过程的保密与公正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24.1凡是与审查、澄清、评价和比较投标的有关资料以及授标建议等，采购人、评委、采购中心均不得向供应商或与评标无关的其他人员透露。</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24.2在评标过程中，供应商不得以任何行为影响评标过程，否则其投标文件将被作为无效投标文件。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24.3 采购中心和评标委员会不向未中标的供应商解释未中标原因，也不公布评标过程中的相关细节。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24.4 采用综合评分法的项目，未中标的供应商可于中标结果公告期限届满之日起通过苏采云系统查看自己的评审得分及排序情况。（提醒：经办人在苏采云系统查询到中标结果公告后，再点击推送。招标文件定稿后该提醒删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6" w:name="_Toc20823304"/>
      <w:r/>
      <w:bookmarkStart w:id="137" w:name="_Toc16938548"/>
      <w:r/>
      <w:bookmarkStart w:id="138" w:name="_Toc513029232"/>
      <w:r>
        <w:rPr>
          <w:rFonts w:hint="eastAsia" w:ascii="宋体" w:hAnsi="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t xml:space="preserve">投标文件的澄清</w:t>
      </w:r>
      <w:bookmarkEnd w:id="136"/>
      <w:r/>
      <w:bookmarkEnd w:id="137"/>
      <w:r/>
      <w:bookmarkEnd w:id="138"/>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9" w:name="_Toc20823305"/>
      <w:r/>
      <w:bookmarkStart w:id="140" w:name="_Toc16938549"/>
      <w:r/>
      <w:bookmarkStart w:id="141" w:name="_Toc513029233"/>
      <w:r>
        <w:rPr>
          <w:rFonts w:hint="eastAsia" w:ascii="宋体" w:hAnsi="宋体" w:eastAsia="宋体" w:cs="宋体"/>
          <w:color w:val="000000"/>
          <w:sz w:val="24"/>
          <w:szCs w:val="24"/>
          <w:lang w:val="en-US" w:eastAsia="zh-CN" w:bidi="ar-SA"/>
        </w:rPr>
        <w:t xml:space="preserve">25.1评标期间，评委会对投标文件中含义不明确、同类问题表述不一致或者有明显文字和计算错误的内容，有权要求供应商作出必要的澄清、说明或者补正。</w:t>
      </w:r>
      <w:bookmarkEnd w:id="139"/>
      <w:r/>
      <w:bookmarkEnd w:id="140"/>
      <w:r/>
      <w:bookmarkEnd w:id="141"/>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供应商的澄清、说明或者补正不得超出投标文件的范围或者改变投标文件的实质性内容。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评标委员会并非对每个供应商都做澄清要求。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25.3 接到评委会澄清、说明和补正要求的供应商如未按规定作出澄清、说明和补正，其风险由供应商自行承担。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26、对投标文件的初审</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26.1投标文件初审分为资格审查和符合性审查。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26.1.1 资格审查：依据法律法规和招标文件的规定，由采购人对投标文件中的资格证明文件进行审查。资格审查的结论，采购人以书面形式向评委会进行反馈。</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采购人在进行资格性审查的同时，将在“信用中国”网站（www.creditchina.gov.cn）查询供应商的信用记录，以确定供应商是否具备投标资格,查询结果留存并归档。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26.1.3 未通过资格审查或符合性审查的供应商，采购中心将在苏采云系统中告知未通过资格审查或符合性审查的原因，评审结束后，采购中心将不再告知未通过资格审查或符合性审查的原因。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26.3如果投标文件实质上没有响应招标文件的要求，评委会将予以拒绝，供应商不得通过修改或撤销不符合要求的偏离或保留而使其投标成为实质性响应的投标。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26.4评委会将对确定为实质性响应的投标进行进一步审核，看其是否有计算上或累加上的算术错误，修正错误的原则如下：</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（1）投标文件中开标一览表内容与投标文件中相应内容不一致的，以开标一览表为准。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（3）单价金额小数点或者百分比有明显错位的，以开标一览表的总价为准，并修改单价。</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26.5评委会将按上述修正错误的方法调整投标文件中的投标报价，并通过苏采云系统告知供应商，调整后的价格应对供应商具有约束力。如果供应商不接受修正后的价格，则其投标将被拒绝。</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2" w:name="_Toc20823306"/>
      <w:r/>
      <w:bookmarkStart w:id="143" w:name="_Toc16938550"/>
      <w:r/>
      <w:bookmarkStart w:id="144" w:name="_Toc513029234"/>
      <w:r>
        <w:rPr>
          <w:rFonts w:hint="eastAsia" w:ascii="宋体" w:hAnsi="宋体" w:eastAsia="宋体" w:cs="宋体"/>
          <w:color w:val="000000"/>
          <w:sz w:val="24"/>
          <w:szCs w:val="24"/>
          <w:lang w:val="en-US" w:eastAsia="zh-CN" w:bidi="ar-SA"/>
        </w:rPr>
        <w:t xml:space="preserve">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bookmarkEnd w:id="142"/>
      <w:r/>
      <w:bookmarkEnd w:id="143"/>
      <w:r/>
      <w:bookmarkEnd w:id="144"/>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非单一产品采购项目，招标文件中将载明其中的核心产品。多家供应商提供的核心产品品牌相同的，按前两款规定处理。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26.7供应商在开、评标全过程中应保持通信畅通，及时登录苏采云系统查阅、答复相关信息，并安排专人与采购人及评标委员会联系。</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27、无效投标条款和废标条款</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5" w:name="_Toc513029235"/>
      <w:r/>
      <w:bookmarkStart w:id="146" w:name="_Toc20823307"/>
      <w:r/>
      <w:bookmarkStart w:id="147" w:name="_Toc16938551"/>
      <w:r>
        <w:rPr>
          <w:rFonts w:hint="eastAsia" w:ascii="宋体" w:hAnsi="宋体" w:eastAsia="宋体" w:cs="宋体"/>
          <w:color w:val="000000"/>
          <w:sz w:val="24"/>
          <w:szCs w:val="24"/>
          <w:lang w:val="en-US" w:eastAsia="zh-CN" w:bidi="ar-SA"/>
        </w:rPr>
        <w:t xml:space="preserve">27.1无效投标条款</w:t>
      </w:r>
      <w:bookmarkEnd w:id="145"/>
      <w:r/>
      <w:bookmarkEnd w:id="146"/>
      <w:r/>
      <w:bookmarkEnd w:id="14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 供应商在苏采云系统规定的时间内未成功解密电子投标文件的。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27.1.2 供应商未按照招标文件要求上传电子投标文件的。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27.1.3同一供应商提交两个（含两个）以上不同的投标报价的。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27.1.4供应商不具备招标文件中规定资格要求的。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27.1.5供应商的报价超过了采购预算或最高限价的。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27.1.6未通过符合性审查的。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27.1.7不符合招标文件中规定的实质性要求和条件的</w:t>
      </w:r>
      <w:r>
        <w:rPr>
          <w:rFonts w:hint="eastAsia" w:ascii="宋体" w:hAnsi="宋体" w:eastAsia="宋体" w:cs="宋体"/>
          <w:i/>
          <w:iCs/>
          <w:color w:val="000000"/>
          <w:sz w:val="24"/>
          <w:szCs w:val="24"/>
          <w:u w:val="single"/>
          <w:lang w:val="en-US" w:eastAsia="zh-CN" w:bidi="ar-SA"/>
        </w:rPr>
        <w:t xml:space="preserve">（本招标文件中斜体且有下划线部分为实质性要求和条件）。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27.1.9投标文件含有采购人不能接受的附加条件的。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（一）评审过程中出现下列情形之一的，评标委员会应当启动异常低价投标审查程序：</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3.投标（响应）报价低于采购项目最高限价45%的，即投标（响应）报价&lt;采购项目最高限价×45%；</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4.评审委员会基于专业判断，认为供应商报价过低，有可能影响产品质量或者不能诚信履约的其他情形。</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提醒：采购人可以结合具体项目实际情况，提高上述第1项至第3项中启动异常低价投标（响应）审查的数值标准，但是最高不得超过65%。</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相关法律法规对供应商报价有规定的，从其规定。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27.1.11 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27.1.12 投标文件未按照招标文件要求加盖CA电子公章的。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27.1.13其他法律、法规及本招标文件规定的属无效投标的情形。</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27.2废标条款</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27.2.1符合专业条件的供应商或者对招标文件作实质响应的供应商不足三家的。27.2.2出现影响采购公正的违法、违规行为的。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27.2.3因重大变故，采购任务取消的。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27.2.4评标委员会认定招标文件存在歧义、重大缺陷导致评审工作无法进行。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27.2.5 因苏采云系统故障原因造成开标不成功的。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 投标截止时间结束后参加投标的供应商不足三家的处理：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27.3.1如出现投标截止时间结束后参加投标的供应商或者在评标期间对招标文件做出实质响应的供应商不足三家情况，按政府采购相关规定执行。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48" w:name="_Toc120614219"/>
      <w:r>
        <w:rPr>
          <w:rFonts w:hint="eastAsia" w:ascii="宋体" w:hAnsi="宋体" w:eastAsia="宋体" w:cs="宋体"/>
          <w:b/>
          <w:bCs/>
          <w:color w:val="000000"/>
          <w:sz w:val="28"/>
          <w:szCs w:val="28"/>
          <w:lang w:val="en-US" w:eastAsia="zh-CN" w:bidi="ar-SA"/>
        </w:rPr>
        <w:t xml:space="preserve">六、定标</w:t>
      </w:r>
      <w:bookmarkEnd w:id="148"/>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9" w:name="_Toc20823310"/>
      <w:r/>
      <w:bookmarkStart w:id="150" w:name="_Toc513029238"/>
      <w:r/>
      <w:bookmarkStart w:id="151" w:name="_Toc16938554"/>
      <w:r>
        <w:rPr>
          <w:rFonts w:hint="eastAsia" w:ascii="宋体" w:hAnsi="宋体" w:eastAsia="宋体" w:cs="宋体"/>
          <w:color w:val="000000"/>
          <w:sz w:val="24"/>
          <w:szCs w:val="24"/>
          <w:lang w:val="en-US" w:eastAsia="zh-CN" w:bidi="ar-SA"/>
        </w:rPr>
        <w:t xml:space="preserve">28、</w:t>
      </w:r>
      <w:bookmarkEnd w:id="149"/>
      <w:r>
        <w:rPr>
          <w:rFonts w:hint="eastAsia" w:ascii="宋体" w:hAnsi="宋体" w:eastAsia="宋体" w:cs="宋体"/>
          <w:color w:val="000000"/>
          <w:sz w:val="24"/>
          <w:szCs w:val="24"/>
          <w:lang w:val="en-US" w:eastAsia="zh-CN" w:bidi="ar-SA"/>
        </w:rPr>
        <w:t xml:space="preserve">确定</w:t>
      </w:r>
      <w:bookmarkEnd w:id="150"/>
      <w:r/>
      <w:bookmarkEnd w:id="151"/>
      <w:r>
        <w:rPr>
          <w:rFonts w:hint="eastAsia" w:ascii="宋体" w:hAnsi="宋体" w:eastAsia="宋体" w:cs="宋体"/>
          <w:color w:val="000000"/>
          <w:sz w:val="24"/>
          <w:szCs w:val="24"/>
          <w:lang w:val="en-US" w:eastAsia="zh-CN" w:bidi="ar-SA"/>
        </w:rPr>
        <w:t xml:space="preserve">中标单位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28.1中标候选人的选取原则和数量见招标文件第五章规定。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28.2 采购人应根据评委会推荐的中标候选人确定中标人。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28.3 采购人将在</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中国政府采购网”“江苏政府采购网”“盐城市政府采购网”发布中标公告，公告期限为1个工作日。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 若有充分证据证明，中标人出现下列情况之一的，一经查实，将被取消中标资格：</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28.4.1提供虚假材料谋取中标的。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28.4.2向采购人、代理机构行贿或者提供其他不正当利益的。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28.4.3属于本文件规定的无效条件，但在评标过程中又未被评委会发现的。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28.4.4与采购人或者其他供应商恶意串通的。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28.4.5采取不正当手段诋毁、排挤其他供应商的。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2" w:name="_Toc200451960"/>
      <w:r>
        <w:rPr>
          <w:rFonts w:hint="eastAsia" w:ascii="宋体" w:hAnsi="宋体" w:eastAsia="宋体" w:cs="宋体"/>
          <w:color w:val="000000"/>
          <w:sz w:val="24"/>
          <w:szCs w:val="24"/>
          <w:lang w:val="en-US" w:eastAsia="zh-CN" w:bidi="ar-SA"/>
        </w:rPr>
        <w:t xml:space="preserve">28.5.有下列情形之一的，视为供应商串通投标，投标无效：</w:t>
      </w:r>
      <w:bookmarkEnd w:id="152"/>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28.5.1不同供应商的投标文件由同一单位或者个人编制；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28.5.2不同供应商委托同一单位或者个人办理投标事宜；</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28.5.3 不同供应商的投标文件载明的项目管理成员或者联系人员为同一人；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28.5.4不同供应商的投标文件异常一致或者投标报价呈规律性差异；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29、质疑处理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29.1 提出质疑的供应商应当是参与所质疑项目采购活动的供应商。潜在供应商依法获取其可质疑的采购文件的，可以对采购文件提出质疑。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29.2.2对采购过程提出质疑的，为各采购程序环节结束之日；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29.2.3对中标或者成交结果提出质疑的，为中标或者成交结果公告期限届满之日。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 以下情形的质疑不予受理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29.5.1 内容不符合《政府采购质疑和投诉办法》第十二条规定的质疑。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29.5.2 超出政府采购法定期限的质疑。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29.5.3 以传真、电子邮件等方式递交的非原件形式的质疑。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29.5.4 未参加投标活动的供应商或在投标活动中自身权益未受到损害的供应商所提出的质疑。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29.5.5供应商组成联合体参加投标，联合体中任何一方或多方未按要求签字、盖章、加盖公章的质疑。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30、中标通知书</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53" w:name="_Toc16938552"/>
      <w:r/>
      <w:bookmarkStart w:id="154" w:name="_Toc513029236"/>
      <w:r/>
      <w:bookmarkStart w:id="155" w:name="_Toc120614220"/>
      <w:r/>
      <w:bookmarkStart w:id="156" w:name="_Toc20823308"/>
      <w:r>
        <w:rPr>
          <w:rFonts w:hint="eastAsia" w:ascii="宋体" w:hAnsi="宋体" w:eastAsia="宋体" w:cs="宋体"/>
          <w:b/>
          <w:bCs/>
          <w:color w:val="000000"/>
          <w:sz w:val="28"/>
          <w:szCs w:val="28"/>
          <w:lang w:val="en-US" w:eastAsia="zh-CN" w:bidi="ar-SA"/>
        </w:rPr>
        <w:t xml:space="preserve">七、授予合同</w:t>
      </w:r>
      <w:bookmarkEnd w:id="153"/>
      <w:r/>
      <w:bookmarkEnd w:id="154"/>
      <w:r/>
      <w:bookmarkEnd w:id="155"/>
      <w:r/>
      <w:bookmarkEnd w:id="156"/>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7" w:name="_Toc20823309"/>
      <w:r/>
      <w:bookmarkStart w:id="158" w:name="_Toc16938553"/>
      <w:r/>
      <w:bookmarkStart w:id="159" w:name="_Toc513029237"/>
      <w:r>
        <w:rPr>
          <w:rFonts w:hint="eastAsia" w:ascii="宋体" w:hAnsi="宋体" w:eastAsia="宋体" w:cs="宋体"/>
          <w:color w:val="000000"/>
          <w:sz w:val="24"/>
          <w:szCs w:val="24"/>
          <w:lang w:val="en-US" w:eastAsia="zh-CN" w:bidi="ar-SA"/>
        </w:rPr>
        <w:t xml:space="preserve">31. 签订合同</w:t>
      </w:r>
      <w:bookmarkEnd w:id="157"/>
      <w:r/>
      <w:bookmarkEnd w:id="158"/>
      <w:r/>
      <w:bookmarkEnd w:id="15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31.l中标人应当在中标通知书发出之日起三十日内，按照招标文件确定的事项与采购人签订政府采购合同。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31.2招标文件、中标人的投标文件及招标过程中有关澄清、承诺文件均应作为合同附件。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31.3 </w:t>
      </w:r>
      <w:r>
        <w:rPr>
          <w:rFonts w:hint="eastAsia" w:ascii="宋体" w:hAnsi="宋体" w:eastAsia="宋体" w:cs="宋体"/>
          <w:i/>
          <w:iCs/>
          <w:color w:val="000000"/>
          <w:sz w:val="24"/>
          <w:szCs w:val="24"/>
          <w:u w:val="single"/>
          <w:lang w:val="en-US" w:eastAsia="zh-CN" w:bidi="ar-SA"/>
        </w:rPr>
        <w:t xml:space="preserve">签订合同后，中标人不得将合同标的进行转包</w:t>
      </w:r>
      <w:r>
        <w:rPr>
          <w:rFonts w:hint="eastAsia" w:ascii="宋体" w:hAnsi="宋体" w:eastAsia="宋体" w:cs="宋体"/>
          <w:color w:val="000000"/>
          <w:sz w:val="24"/>
          <w:szCs w:val="24"/>
          <w:lang w:val="en-US" w:eastAsia="zh-CN" w:bidi="ar-SA"/>
        </w:rPr>
        <w:t xml:space="preserve">。未经采购人同意，中标人也不得采用分包的形式履行合同，否则采购人有权终止合同。转包或分包造成采购人损失的，中标人应承担相应赔偿责任。</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32、货物（包含与货物相关的服务）的追加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33.政府采购政策功能落实</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33.1政府采购线上合同信用融资政策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sz w:val="24"/>
          <w:szCs w:val="24"/>
          <w:lang w:val="en-US" w:eastAsia="zh-CN" w:bidi="ar-SA"/>
        </w:rPr>
        <w:t xml:space="preserve">系统</w:t>
      </w:r>
      <w:r>
        <w:rPr>
          <w:rFonts w:hint="eastAsia" w:ascii="宋体" w:hAnsi="宋体" w:eastAsia="宋体" w:cs="宋体"/>
          <w:color w:val="000000"/>
          <w:sz w:val="24"/>
          <w:szCs w:val="24"/>
          <w:lang w:val="en-US" w:eastAsia="zh-CN" w:bidi="ar-SA"/>
        </w:rPr>
        <w:t xml:space="preserve">操作手册。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33.2进口产品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33.3中小企业、监狱企业及残疾人福利性单位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33.3.1中小企业定义：</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中小企业</w:t>
      </w:r>
      <w:r>
        <w:rPr>
          <w:rFonts w:hint="eastAsia" w:ascii="宋体" w:hAnsi="宋体" w:eastAsia="宋体" w:cs="宋体"/>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33.3.2供应商提供的货物、工程或者服务符合下列情形的，享受中小企业扶持政策：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33.3.2.1在货物采购项目中，货物由中小企业制造，即货物由中小企业生产且使用该中小企业商号或者注册商标；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33.3.2.2在工程采购项目中，工程由中小企业承建，即工程施工单位为中小企业；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33.3.2.3在服务采购项目中，服务由中小企业承接，即提供服务的人员为中小企业依照《中华人民共和国劳动合同法》订立劳动合同的从业人员。</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33.3.3在货物采购项目中，供应商提供的货物既有中小企业制造货物，也有大型企业制造货物的，不享受中小企业扶持政策。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33.3.4以联合体形式参加政府采购活动，联合体各方均为中小企业的，联合体视同中小企业。其中，联合体各方均为小微企业的，联合体视同小微企业。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33.3.6残疾人福利单位定义：享受政府采购支持政策的残疾人福利性单位应当同时满足以下条件：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33.3.6.1安置的残疾人占本单位在职职工人数的比例不低于25%（含25%），并且安置的残疾人人数不少于10 人（含10 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33.3.6.2依法与安置的每位残疾人签订了一年以上（含一年）的劳动合同或服务协议；</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33.3.6.3为安置的每位残疾人按月足额缴纳了基本养老保险、基本医疗保险、失业保险、工伤保险和生育保险等社会保险费；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33.3.6.4通过银行等金融机构向安置的每位残疾人，按月支付了不低于单位所在区县适用的经省级人民政府批准的月最低工资标准的工资；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33.3.7本项目是否专门面向中小企业预留采购份额见第一章《招标公告》。</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33.3.8采购标的对应的中小企业划分标准所属行业见第四章《采购需求》。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33.3.9小微企业价格评审优惠的政策：见第五章《评标方法和评标标准》。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33.4政府采购节能产品、环境标志产品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000000"/>
          <w:sz w:val="24"/>
          <w:szCs w:val="24"/>
          <w:lang w:val="en-US" w:eastAsia="zh-CN" w:bidi="ar-SA"/>
        </w:rPr>
        <w:t xml:space="preserve">其他条件相同情况下，应当优先采购节能产品、环境标志产品。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33.5绿色包装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33.6政府采购创新产品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采购人优先采购各级政府部门公开发布的有效期内的创新产品、创新服务、首台套、首购首用等《目录》的创新产品。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33.7绿色数据中心政策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33.8实施本国产品标准及相关政策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1.本项目对采购本国产品给予政策支持，具体内容见招标文件“第五章 评标方法与评标标准”。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4"/>
          <w:szCs w:val="24"/>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33.8履约保证金政策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确需收取履约保证金的，履约保证金的缴纳形式：</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如以履约保函（保险）形式缴纳履约保证金，供应商可通过政府采购电子履约保函（保险）平台（www.jsdzbh.com）在线申请履约保函（保险）。</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34. 预付款制度</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0"/>
        <w:ind w:firstLine="1760"/>
        <w:jc w:val="center"/>
        <w:keepNext/>
        <w:spacing w:beforeAutospacing="0" w:afterAutospacing="0"/>
      </w:pPr>
      <w:r/>
      <w:bookmarkStart w:id="160" w:name="_Toc479757211"/>
      <w:r/>
      <w:bookmarkStart w:id="161" w:name="_Toc20823346"/>
      <w:r/>
      <w:bookmarkStart w:id="162" w:name="_Toc16938590"/>
      <w:r/>
      <w:bookmarkStart w:id="163" w:name="_Toc120614244"/>
      <w:r/>
      <w:bookmarkStart w:id="164" w:name="_Hlt16619350"/>
      <w:r/>
      <w:bookmarkStart w:id="165" w:name="_Toc462564139"/>
      <w:r/>
      <w:bookmarkStart w:id="166" w:name="_Hlt16619369"/>
      <w:r>
        <w:rPr>
          <w:rFonts w:hint="eastAsia" w:ascii="黑体" w:hAnsi="宋体" w:eastAsia="黑体" w:cs="黑体"/>
          <w:color w:val="000000"/>
          <w:sz w:val="44"/>
          <w:szCs w:val="44"/>
        </w:rPr>
        <w:t xml:space="preserve">第三章  合同文本</w:t>
      </w:r>
      <w:r/>
    </w:p>
    <w:p>
      <w:pPr>
        <w:pStyle w:val="890"/>
        <w:ind w:firstLine="480"/>
        <w:jc w:val="both"/>
        <w:spacing w:beforeAutospacing="0" w:afterAutospacing="0" w:line="360" w:lineRule="auto"/>
      </w:pPr>
      <w:r/>
      <w:bookmarkStart w:id="167" w:name="_Toc16938559"/>
      <w:r/>
      <w:bookmarkStart w:id="168" w:name="_Toc513029243"/>
      <w:r/>
      <w:bookmarkStart w:id="169" w:name="_Toc20823315"/>
      <w:r>
        <w:rPr>
          <w:rFonts w:hint="eastAsia" w:ascii="宋体" w:hAnsi="宋体" w:eastAsia="宋体" w:cs="宋体"/>
          <w:color w:val="000000"/>
        </w:rPr>
        <w:t xml:space="preserve">以下为中标后签定本项目合同的通用条款，中标人不得提出实质性的修改。</w:t>
      </w:r>
      <w:bookmarkEnd w:id="167"/>
      <w:r/>
      <w:bookmarkEnd w:id="168"/>
      <w:r/>
      <w:bookmarkEnd w:id="169"/>
      <w:r/>
      <w:r/>
    </w:p>
    <w:p>
      <w:pPr>
        <w:pStyle w:val="890"/>
        <w:jc w:val="center"/>
        <w:spacing w:before="145" w:beforeAutospacing="0" w:after="145" w:afterAutospacing="0" w:line="360" w:lineRule="auto"/>
      </w:pPr>
      <w:r>
        <w:rPr>
          <w:rFonts w:hint="eastAsia" w:ascii="宋体" w:hAnsi="宋体" w:eastAsia="宋体" w:cs="宋体"/>
          <w:b/>
          <w:color w:val="000000"/>
          <w:sz w:val="30"/>
          <w:szCs w:val="30"/>
        </w:rPr>
        <w:t xml:space="preserve">盐城市政府采购合同（货物）（合同编号）</w:t>
      </w:r>
      <w:r/>
    </w:p>
    <w:p>
      <w:pPr>
        <w:pStyle w:val="890"/>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                        </w:t>
      </w:r>
      <w:r/>
    </w:p>
    <w:p>
      <w:pPr>
        <w:pStyle w:val="890"/>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p>
    <w:p>
      <w:pPr>
        <w:pStyle w:val="890"/>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甲方：（买方）_________</w:t>
      </w:r>
      <w:r/>
    </w:p>
    <w:p>
      <w:pPr>
        <w:pStyle w:val="890"/>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乙方：（卖方）_________</w:t>
      </w:r>
      <w:r/>
    </w:p>
    <w:p>
      <w:pPr>
        <w:pStyle w:val="890"/>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sz w:val="24"/>
          <w:szCs w:val="24"/>
          <w:lang w:val="en-US" w:eastAsia="zh-CN"/>
        </w:rPr>
        <w:t xml:space="preserve">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90"/>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890"/>
        <w:jc w:val="both"/>
        <w:spacing w:before="120" w:beforeAutospacing="0" w:after="120" w:afterAutospacing="0" w:line="360" w:lineRule="auto"/>
      </w:pPr>
      <w:r>
        <w:rPr>
          <w:rFonts w:hint="eastAsia" w:ascii="宋体" w:hAnsi="宋体" w:eastAsia="宋体" w:cs="宋体"/>
          <w:color w:val="000000"/>
        </w:rPr>
        <w:t xml:space="preserve">1.1 标的名称：</w:t>
      </w:r>
      <w:r/>
    </w:p>
    <w:p>
      <w:pPr>
        <w:pStyle w:val="890"/>
        <w:jc w:val="both"/>
        <w:spacing w:before="120" w:beforeAutospacing="0" w:after="120" w:afterAutospacing="0" w:line="360" w:lineRule="auto"/>
      </w:pPr>
      <w:r>
        <w:rPr>
          <w:rFonts w:hint="eastAsia" w:ascii="宋体" w:hAnsi="宋体" w:eastAsia="宋体" w:cs="宋体"/>
          <w:color w:val="000000"/>
        </w:rPr>
        <w:t xml:space="preserve">1.2 标的质量：</w:t>
      </w:r>
      <w:r/>
    </w:p>
    <w:p>
      <w:pPr>
        <w:pStyle w:val="890"/>
        <w:jc w:val="both"/>
        <w:spacing w:before="120" w:beforeAutospacing="0" w:after="120" w:afterAutospacing="0" w:line="360" w:lineRule="auto"/>
      </w:pPr>
      <w:r>
        <w:rPr>
          <w:rFonts w:hint="eastAsia" w:ascii="宋体" w:hAnsi="宋体" w:eastAsia="宋体" w:cs="宋体"/>
          <w:color w:val="000000"/>
        </w:rPr>
        <w:t xml:space="preserve">1.3 标的数量（规模）：</w:t>
      </w:r>
      <w:r/>
    </w:p>
    <w:p>
      <w:pPr>
        <w:pStyle w:val="890"/>
        <w:jc w:val="both"/>
        <w:spacing w:before="120" w:beforeAutospacing="0" w:after="120" w:afterAutospacing="0" w:line="360" w:lineRule="auto"/>
      </w:pPr>
      <w:r>
        <w:rPr>
          <w:rFonts w:hint="eastAsia" w:ascii="宋体" w:hAnsi="宋体" w:eastAsia="宋体" w:cs="宋体"/>
          <w:color w:val="000000"/>
        </w:rPr>
        <w:t xml:space="preserve">1.4 履行时间（期限）：</w:t>
      </w:r>
      <w:r/>
    </w:p>
    <w:p>
      <w:pPr>
        <w:pStyle w:val="890"/>
        <w:jc w:val="both"/>
        <w:spacing w:before="120" w:beforeAutospacing="0" w:after="120" w:afterAutospacing="0" w:line="360" w:lineRule="auto"/>
      </w:pPr>
      <w:r>
        <w:rPr>
          <w:rFonts w:hint="eastAsia" w:ascii="宋体" w:hAnsi="宋体" w:eastAsia="宋体" w:cs="宋体"/>
          <w:color w:val="000000"/>
        </w:rPr>
        <w:t xml:space="preserve">1.5 履行地点：</w:t>
      </w:r>
      <w:r/>
    </w:p>
    <w:p>
      <w:pPr>
        <w:pStyle w:val="890"/>
        <w:jc w:val="both"/>
        <w:spacing w:before="120" w:beforeAutospacing="0" w:after="120" w:afterAutospacing="0" w:line="360" w:lineRule="auto"/>
      </w:pPr>
      <w:r>
        <w:rPr>
          <w:rFonts w:hint="eastAsia" w:ascii="宋体" w:hAnsi="宋体" w:eastAsia="宋体" w:cs="宋体"/>
          <w:color w:val="000000"/>
        </w:rPr>
        <w:t xml:space="preserve">1.6 履行方式：</w:t>
      </w:r>
      <w:r/>
    </w:p>
    <w:p>
      <w:pPr>
        <w:pStyle w:val="890"/>
        <w:jc w:val="both"/>
        <w:spacing w:before="120" w:beforeAutospacing="0" w:after="120" w:afterAutospacing="0" w:line="360" w:lineRule="auto"/>
      </w:pPr>
      <w:r>
        <w:rPr>
          <w:rFonts w:hint="eastAsia" w:ascii="宋体" w:hAnsi="宋体" w:eastAsia="宋体" w:cs="宋体"/>
          <w:color w:val="000000"/>
        </w:rPr>
        <w:t xml:space="preserve">1.7 包装方式：</w:t>
      </w:r>
      <w:r/>
    </w:p>
    <w:p>
      <w:pPr>
        <w:pStyle w:val="890"/>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2.1 本合同金额为（大写）：_______圆（___元）人民币或其他币种。</w:t>
      </w:r>
      <w:r/>
    </w:p>
    <w:p>
      <w:pPr>
        <w:pStyle w:val="890"/>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890"/>
        <w:jc w:val="both"/>
        <w:spacing w:beforeAutospacing="0" w:afterAutospacing="0" w:line="360" w:lineRule="auto"/>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90"/>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890"/>
        <w:ind w:left="408" w:hanging="408"/>
        <w:jc w:val="both"/>
        <w:spacing w:before="120" w:beforeAutospacing="0" w:after="120" w:afterAutospacing="0" w:line="360" w:lineRule="auto"/>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90"/>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890"/>
        <w:ind w:left="408" w:hanging="408"/>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890"/>
        <w:ind w:left="210" w:firstLine="240"/>
        <w:jc w:val="both"/>
        <w:spacing w:before="120" w:beforeAutospacing="0" w:after="120" w:afterAutospacing="0" w:line="360" w:lineRule="auto"/>
        <w:rPr>
          <w:rFonts w:hint="eastAsia" w:ascii="宋体" w:hAnsi="宋体" w:eastAsia="宋体" w:cs="宋体"/>
          <w:color w:val="7030a0"/>
          <w:lang w:eastAsia="zh-CN"/>
        </w:rPr>
      </w:pPr>
      <w:r>
        <w:rPr>
          <w:rFonts w:hint="eastAsia" w:ascii="宋体" w:hAnsi="宋体" w:eastAsia="宋体" w:cs="宋体"/>
          <w:color w:val="7030a0"/>
        </w:rPr>
        <w:t xml:space="preserve">（备注：不得超过合同金额的10%，采购人</w:t>
      </w:r>
      <w:r>
        <w:rPr>
          <w:rFonts w:hint="eastAsia" w:ascii="宋体" w:hAnsi="宋体" w:eastAsia="宋体" w:cs="宋体"/>
          <w:color w:val="7030a0"/>
          <w:lang w:eastAsia="zh-CN"/>
        </w:rPr>
        <w:t xml:space="preserve">应当</w:t>
      </w:r>
      <w:r>
        <w:rPr>
          <w:rFonts w:hint="eastAsia" w:ascii="宋体" w:hAnsi="宋体" w:eastAsia="宋体" w:cs="宋体"/>
          <w:color w:val="7030a0"/>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lang w:eastAsia="zh-CN"/>
        </w:rPr>
        <w:t xml:space="preserve">）</w:t>
      </w:r>
      <w:r/>
    </w:p>
    <w:p>
      <w:pPr>
        <w:pStyle w:val="890"/>
        <w:jc w:val="both"/>
        <w:spacing w:before="120" w:beforeAutospacing="0" w:after="120" w:afterAutospacing="0" w:line="360" w:lineRule="auto"/>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890"/>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890"/>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890"/>
        <w:ind w:left="408" w:hanging="408"/>
        <w:jc w:val="both"/>
        <w:spacing w:before="120" w:beforeAutospacing="0" w:after="12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90"/>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890"/>
        <w:jc w:val="both"/>
        <w:spacing w:before="145" w:beforeAutospacing="0" w:after="145" w:afterAutospacing="0" w:line="360" w:lineRule="auto"/>
      </w:pPr>
      <w:r>
        <w:rPr>
          <w:rFonts w:hint="eastAsia" w:ascii="宋体" w:hAnsi="宋体" w:eastAsia="宋体" w:cs="宋体"/>
          <w:color w:val="000000"/>
        </w:rPr>
        <w:t xml:space="preserve">7.1乙方不得将合同标的转包给他人履行。</w:t>
      </w:r>
      <w:r/>
    </w:p>
    <w:p>
      <w:pPr>
        <w:pStyle w:val="890"/>
        <w:jc w:val="both"/>
        <w:spacing w:before="145" w:beforeAutospacing="0" w:after="145" w:afterAutospacing="0" w:line="360" w:lineRule="auto"/>
      </w:pPr>
      <w:r>
        <w:rPr>
          <w:rFonts w:hint="eastAsia" w:ascii="宋体" w:hAnsi="宋体" w:eastAsia="宋体" w:cs="宋体"/>
          <w:color w:val="000000"/>
        </w:rPr>
        <w:t xml:space="preserve">7.2乙方不得将合同标的分包给他人履行。</w:t>
      </w:r>
      <w:r/>
    </w:p>
    <w:p>
      <w:pPr>
        <w:pStyle w:val="890"/>
        <w:jc w:val="both"/>
        <w:spacing w:before="145" w:beforeAutospacing="0" w:after="145" w:afterAutospacing="0" w:line="360" w:lineRule="auto"/>
      </w:pPr>
      <w:r>
        <w:rPr>
          <w:rFonts w:hint="eastAsia" w:ascii="宋体" w:hAnsi="宋体" w:eastAsia="宋体" w:cs="宋体"/>
          <w:color w:val="000000"/>
        </w:rPr>
        <w:t xml:space="preserve">7.3乙方如有转包或未经甲方同意的分包行为，甲方有权给予终止合同。</w:t>
      </w:r>
      <w:r/>
    </w:p>
    <w:p>
      <w:pPr>
        <w:pStyle w:val="890"/>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890"/>
        <w:jc w:val="both"/>
        <w:spacing w:before="145" w:beforeAutospacing="0" w:after="145" w:afterAutospacing="0" w:line="360" w:lineRule="auto"/>
        <w:rPr>
          <w:rFonts w:hint="eastAsia" w:ascii="宋体" w:hAnsi="宋体" w:eastAsia="宋体" w:cs="宋体"/>
          <w:color w:val="ff0000"/>
        </w:rPr>
      </w:pPr>
      <w:r>
        <w:rPr>
          <w:rFonts w:hint="eastAsia" w:ascii="宋体" w:hAnsi="宋体" w:eastAsia="宋体" w:cs="宋体"/>
          <w:color w:val="ff0000"/>
        </w:rPr>
        <w:t xml:space="preserve">8.1合同款项的支付方式及进度安排</w:t>
      </w:r>
      <w:r/>
    </w:p>
    <w:p>
      <w:pPr>
        <w:pStyle w:val="890"/>
        <w:jc w:val="both"/>
        <w:spacing w:before="145" w:beforeAutospacing="0" w:after="145" w:afterAutospacing="0" w:line="360" w:lineRule="auto"/>
        <w:rPr>
          <w:rFonts w:hint="default" w:ascii="宋体" w:hAnsi="宋体" w:eastAsia="宋体" w:cs="宋体"/>
          <w:b/>
          <w:color w:val="000000"/>
          <w:lang w:val="en-US" w:eastAsia="zh-CN"/>
        </w:rPr>
      </w:pPr>
      <w:r>
        <w:rPr>
          <w:rFonts w:hint="eastAsia" w:ascii="宋体" w:hAnsi="宋体" w:cs="宋体"/>
          <w:b/>
          <w:color w:val="000000"/>
          <w:lang w:val="en-US" w:eastAsia="zh-CN"/>
        </w:rPr>
        <w:t xml:space="preserve">****</w:t>
      </w:r>
      <w:r/>
    </w:p>
    <w:p>
      <w:pPr>
        <w:pStyle w:val="890"/>
        <w:jc w:val="both"/>
        <w:spacing w:before="145" w:beforeAutospacing="0" w:after="145" w:afterAutospacing="0" w:line="360" w:lineRule="auto"/>
      </w:pPr>
      <w:r>
        <w:rPr>
          <w:rFonts w:hint="eastAsia" w:ascii="宋体" w:hAnsi="宋体" w:eastAsia="宋体" w:cs="宋体"/>
          <w:b/>
          <w:color w:val="000000"/>
        </w:rPr>
        <w:t xml:space="preserve">九、税费</w:t>
      </w:r>
      <w:r/>
    </w:p>
    <w:p>
      <w:pPr>
        <w:pStyle w:val="890"/>
        <w:jc w:val="both"/>
        <w:spacing w:before="145" w:beforeAutospacing="0" w:after="145" w:afterAutospacing="0" w:line="360" w:lineRule="auto"/>
      </w:pPr>
      <w:r>
        <w:rPr>
          <w:rFonts w:hint="eastAsia" w:ascii="宋体" w:hAnsi="宋体" w:eastAsia="宋体" w:cs="宋体"/>
          <w:color w:val="000000"/>
        </w:rPr>
        <w:t xml:space="preserve">9.1本合同执行中相关的一切税费均由乙方负担。</w:t>
      </w:r>
      <w:r/>
    </w:p>
    <w:p>
      <w:pPr>
        <w:pStyle w:val="890"/>
        <w:ind w:left="412" w:hanging="412"/>
        <w:jc w:val="both"/>
        <w:spacing w:before="120" w:beforeAutospacing="0" w:after="120" w:afterAutospacing="0" w:line="360" w:lineRule="auto"/>
      </w:pPr>
      <w:r>
        <w:rPr>
          <w:rFonts w:hint="eastAsia" w:ascii="宋体" w:hAnsi="宋体" w:eastAsia="宋体" w:cs="宋体"/>
          <w:b/>
          <w:color w:val="000000"/>
        </w:rPr>
        <w:t xml:space="preserve">十、质量保修范围和保修期及售后服务</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10.1 乙方应按招标文件规定的货物性能、技术要求、质量标准向甲方提供未经使用的全新产品。</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90"/>
        <w:ind w:firstLine="420"/>
        <w:jc w:val="both"/>
        <w:spacing w:before="120" w:beforeAutospacing="0" w:after="120" w:afterAutospacing="0" w:line="360" w:lineRule="auto"/>
      </w:pPr>
      <w:r>
        <w:rPr>
          <w:rFonts w:hint="eastAsia" w:ascii="宋体" w:hAnsi="宋体" w:eastAsia="宋体" w:cs="宋体"/>
          <w:color w:val="000000"/>
        </w:rPr>
        <w:t xml:space="preserve">⑴更换：由乙方承担所发生的全部费用。</w:t>
      </w:r>
      <w:r/>
    </w:p>
    <w:p>
      <w:pPr>
        <w:pStyle w:val="890"/>
        <w:ind w:firstLine="420"/>
        <w:jc w:val="both"/>
        <w:spacing w:before="120" w:beforeAutospacing="0" w:after="120" w:afterAutospacing="0" w:line="360" w:lineRule="auto"/>
      </w:pPr>
      <w:r>
        <w:rPr>
          <w:rFonts w:hint="eastAsia" w:ascii="宋体" w:hAnsi="宋体" w:eastAsia="宋体" w:cs="宋体"/>
          <w:color w:val="000000"/>
        </w:rPr>
        <w:t xml:space="preserve">⑵贬值处理：由甲乙双方合议定价。</w:t>
      </w:r>
      <w:r/>
    </w:p>
    <w:p>
      <w:pPr>
        <w:pStyle w:val="890"/>
        <w:ind w:left="420"/>
        <w:jc w:val="both"/>
        <w:spacing w:before="120" w:beforeAutospacing="0" w:after="120" w:afterAutospacing="0" w:line="360" w:lineRule="auto"/>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90"/>
        <w:jc w:val="both"/>
        <w:spacing w:before="120" w:beforeAutospacing="0" w:after="120" w:afterAutospacing="0" w:line="360" w:lineRule="auto"/>
      </w:pPr>
      <w:r>
        <w:rPr>
          <w:rFonts w:hint="eastAsia" w:ascii="宋体" w:hAnsi="宋体" w:eastAsia="宋体" w:cs="宋体"/>
          <w:color w:val="000000"/>
        </w:rPr>
        <w:t xml:space="preserve">10.3 如在使用过程中发生质量问题，乙方在接到甲方通知后在_________小时内到达甲方现场。</w:t>
      </w:r>
      <w:r/>
    </w:p>
    <w:p>
      <w:pPr>
        <w:pStyle w:val="890"/>
        <w:jc w:val="both"/>
        <w:spacing w:before="120" w:beforeAutospacing="0" w:after="120" w:afterAutospacing="0" w:line="360" w:lineRule="auto"/>
      </w:pPr>
      <w:r>
        <w:rPr>
          <w:rFonts w:hint="eastAsia" w:ascii="宋体" w:hAnsi="宋体" w:eastAsia="宋体" w:cs="宋体"/>
          <w:color w:val="000000"/>
        </w:rPr>
        <w:t xml:space="preserve">10.4 在质保期内，乙方应对货物出现的质量及安全问题负责处理解决并承担一切费用。</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w:t>
      </w:r>
      <w:r>
        <w:rPr>
          <w:rFonts w:hint="eastAsia" w:ascii="宋体" w:hAnsi="宋体" w:cs="宋体"/>
          <w:color w:val="000000"/>
          <w:lang w:eastAsia="zh-CN"/>
        </w:rPr>
        <w:t xml:space="preserve">终身</w:t>
      </w:r>
      <w:r>
        <w:rPr>
          <w:rFonts w:hint="eastAsia" w:ascii="宋体" w:hAnsi="宋体" w:eastAsia="宋体" w:cs="宋体"/>
          <w:color w:val="000000"/>
        </w:rPr>
        <w:t xml:space="preserve">维修，维修时只收部件成本费。</w:t>
      </w:r>
      <w:r/>
    </w:p>
    <w:p>
      <w:pPr>
        <w:pStyle w:val="890"/>
        <w:jc w:val="both"/>
        <w:spacing w:before="120" w:beforeAutospacing="0" w:after="120" w:afterAutospacing="0" w:line="360" w:lineRule="auto"/>
      </w:pPr>
      <w:r>
        <w:rPr>
          <w:rFonts w:hint="eastAsia" w:ascii="宋体" w:hAnsi="宋体" w:eastAsia="宋体" w:cs="宋体"/>
          <w:b/>
          <w:color w:val="000000"/>
        </w:rPr>
        <w:t xml:space="preserve">十一、项目验收</w:t>
      </w:r>
      <w:r/>
    </w:p>
    <w:p>
      <w:pPr>
        <w:pStyle w:val="890"/>
        <w:jc w:val="both"/>
        <w:spacing w:before="120" w:beforeAutospacing="0" w:after="120" w:afterAutospacing="0" w:line="360" w:lineRule="auto"/>
      </w:pPr>
      <w:r>
        <w:rPr>
          <w:rFonts w:hint="eastAsia" w:ascii="宋体" w:hAnsi="宋体" w:eastAsia="宋体" w:cs="宋体"/>
          <w:color w:val="000000"/>
        </w:rPr>
        <w:t xml:space="preserve">11.1 甲方依法组织履约验收工作。</w:t>
      </w:r>
      <w:r/>
    </w:p>
    <w:p>
      <w:pPr>
        <w:pStyle w:val="890"/>
        <w:jc w:val="both"/>
        <w:spacing w:before="120" w:beforeAutospacing="0" w:after="120" w:afterAutospacing="0" w:line="360" w:lineRule="auto"/>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0"/>
        <w:jc w:val="both"/>
        <w:spacing w:before="120" w:beforeAutospacing="0" w:after="120" w:afterAutospacing="0" w:line="360" w:lineRule="auto"/>
      </w:pPr>
      <w:r>
        <w:rPr>
          <w:rFonts w:hint="eastAsia" w:ascii="宋体" w:hAnsi="宋体" w:eastAsia="宋体" w:cs="宋体"/>
          <w:color w:val="000000"/>
        </w:rPr>
        <w:t xml:space="preserve">11.3 对于实际使用人和甲方分离的项目，甲方邀请实际使用人参与验收。</w:t>
      </w:r>
      <w:r/>
    </w:p>
    <w:p>
      <w:pPr>
        <w:pStyle w:val="890"/>
        <w:jc w:val="both"/>
        <w:spacing w:before="120" w:beforeAutospacing="0" w:after="120" w:afterAutospacing="0" w:line="360" w:lineRule="auto"/>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90"/>
        <w:jc w:val="both"/>
        <w:spacing w:before="120" w:beforeAutospacing="0" w:after="120" w:afterAutospacing="0" w:line="360" w:lineRule="auto"/>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0"/>
        <w:jc w:val="both"/>
        <w:spacing w:before="120" w:beforeAutospacing="0" w:after="120" w:afterAutospacing="0" w:line="360" w:lineRule="auto"/>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0"/>
        <w:jc w:val="both"/>
        <w:spacing w:before="120" w:beforeAutospacing="0" w:after="120" w:afterAutospacing="0" w:line="360" w:lineRule="auto"/>
      </w:pPr>
      <w:r>
        <w:rPr>
          <w:rFonts w:hint="eastAsia" w:ascii="宋体" w:hAnsi="宋体" w:eastAsia="宋体" w:cs="宋体"/>
          <w:b/>
          <w:color w:val="000000"/>
        </w:rPr>
        <w:t xml:space="preserve">十二、货物的包装、发运及运输</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rPr>
        <w:t xml:space="preserve">乙方对货物的包装应符合《商品包装政府采购需求标准（试行）》、《快递包装政府采购需求标准（试行）》的规定。</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12.2 使用说明书、质量检验证明书、随配附件和工具以及清单一并附于货物内。</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12.3 乙方在货物发运手续办理完毕后24小时内或货到甲方48小时前通知甲方，以准备接货。</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12.4 货物在交付甲方前发生的风险均由乙方负责。</w:t>
      </w:r>
      <w:r/>
    </w:p>
    <w:p>
      <w:pPr>
        <w:pStyle w:val="890"/>
        <w:ind w:left="480" w:right="26" w:hanging="480"/>
        <w:jc w:val="both"/>
        <w:spacing w:before="156" w:beforeAutospacing="0" w:after="156" w:afterAutospacing="0" w:line="360" w:lineRule="auto"/>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90"/>
        <w:jc w:val="both"/>
        <w:spacing w:before="120" w:beforeAutospacing="0" w:after="120" w:afterAutospacing="0" w:line="360" w:lineRule="auto"/>
      </w:pPr>
      <w:r>
        <w:rPr>
          <w:rFonts w:hint="eastAsia" w:ascii="宋体" w:hAnsi="宋体" w:eastAsia="宋体" w:cs="宋体"/>
          <w:b/>
          <w:color w:val="000000"/>
        </w:rPr>
        <w:t xml:space="preserve">十三、违约责任</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90"/>
        <w:ind w:left="410" w:hanging="410"/>
        <w:jc w:val="both"/>
        <w:spacing w:before="120" w:beforeAutospacing="0" w:after="120" w:afterAutospacing="0" w:line="360" w:lineRule="auto"/>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90"/>
        <w:jc w:val="both"/>
        <w:spacing w:before="120" w:beforeAutospacing="0" w:after="120" w:afterAutospacing="0" w:line="360" w:lineRule="auto"/>
      </w:pPr>
      <w:r>
        <w:rPr>
          <w:rFonts w:hint="eastAsia" w:ascii="宋体" w:hAnsi="宋体" w:eastAsia="宋体" w:cs="宋体"/>
          <w:b/>
          <w:color w:val="000000"/>
        </w:rPr>
        <w:t xml:space="preserve">十四、不可抗力事件处理</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90"/>
        <w:jc w:val="both"/>
        <w:spacing w:before="120" w:beforeAutospacing="0" w:after="120" w:afterAutospacing="0" w:line="360" w:lineRule="auto"/>
      </w:pPr>
      <w:r>
        <w:rPr>
          <w:rFonts w:hint="eastAsia" w:ascii="宋体" w:hAnsi="宋体" w:eastAsia="宋体" w:cs="宋体"/>
          <w:color w:val="000000"/>
        </w:rPr>
        <w:t xml:space="preserve">14.2 不可抗力事件发生后，应立即通知对方，并寄送有关权威机构出具的证明。</w:t>
      </w:r>
      <w:r/>
    </w:p>
    <w:p>
      <w:pPr>
        <w:pStyle w:val="890"/>
        <w:jc w:val="both"/>
        <w:spacing w:before="120" w:beforeAutospacing="0" w:after="120" w:afterAutospacing="0" w:line="360" w:lineRule="auto"/>
      </w:pPr>
      <w:r>
        <w:rPr>
          <w:rFonts w:hint="eastAsia" w:ascii="宋体" w:hAnsi="宋体" w:eastAsia="宋体" w:cs="宋体"/>
          <w:color w:val="000000"/>
        </w:rPr>
        <w:t xml:space="preserve">14.3 不可抗力事件延续120天以上，双方应通过友好协商，确定是否继续履行合同。</w:t>
      </w:r>
      <w:r/>
    </w:p>
    <w:p>
      <w:pPr>
        <w:pStyle w:val="890"/>
        <w:jc w:val="both"/>
        <w:spacing w:before="120" w:beforeAutospacing="0" w:after="120" w:afterAutospacing="0" w:line="360" w:lineRule="auto"/>
      </w:pPr>
      <w:r>
        <w:rPr>
          <w:rFonts w:hint="eastAsia" w:ascii="宋体" w:hAnsi="宋体" w:eastAsia="宋体" w:cs="宋体"/>
          <w:b/>
          <w:color w:val="000000"/>
        </w:rPr>
        <w:t xml:space="preserve">十五、解决争议的方法</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90"/>
        <w:jc w:val="both"/>
        <w:spacing w:before="120" w:beforeAutospacing="0" w:after="120" w:afterAutospacing="0" w:line="360" w:lineRule="auto"/>
      </w:pPr>
      <w:r>
        <w:rPr>
          <w:rFonts w:hint="eastAsia" w:ascii="宋体" w:hAnsi="宋体" w:eastAsia="宋体" w:cs="宋体"/>
          <w:b/>
          <w:color w:val="000000"/>
        </w:rPr>
        <w:t xml:space="preserve">十六、合同生效及其它</w:t>
      </w:r>
      <w:r/>
    </w:p>
    <w:p>
      <w:pPr>
        <w:pStyle w:val="890"/>
        <w:jc w:val="both"/>
        <w:spacing w:before="120" w:beforeAutospacing="0" w:after="120" w:afterAutospacing="0" w:line="360" w:lineRule="auto"/>
      </w:pPr>
      <w:r>
        <w:rPr>
          <w:rFonts w:hint="eastAsia" w:ascii="宋体" w:hAnsi="宋体" w:eastAsia="宋体" w:cs="宋体"/>
          <w:color w:val="000000"/>
        </w:rPr>
        <w:t xml:space="preserve">16.1 合同经双方法定代表人或授权委托代表人签字并加盖单位公章后生效。</w:t>
      </w:r>
      <w:r/>
    </w:p>
    <w:p>
      <w:pPr>
        <w:pStyle w:val="890"/>
        <w:jc w:val="both"/>
        <w:spacing w:before="120" w:beforeAutospacing="0" w:after="120" w:afterAutospacing="0" w:line="360" w:lineRule="auto"/>
      </w:pPr>
      <w:r>
        <w:rPr>
          <w:rFonts w:hint="eastAsia" w:ascii="宋体" w:hAnsi="宋体" w:eastAsia="宋体" w:cs="宋体"/>
          <w:color w:val="000000"/>
        </w:rPr>
        <w:t xml:space="preserve">16.2本合同未尽事宜，遵照《民法典》、《政府采购法》有关条文执行。</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16.3 本合同正本一式两份，具有同等法律效力，甲方、乙方各执一份。</w:t>
      </w:r>
      <w:r/>
    </w:p>
    <w:p>
      <w:pPr>
        <w:pStyle w:val="890"/>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890"/>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890"/>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890"/>
        <w:ind w:firstLine="513"/>
        <w:jc w:val="both"/>
        <w:spacing w:before="120" w:beforeAutospacing="0" w:after="120" w:afterAutospacing="0" w:line="360" w:lineRule="auto"/>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pStyle w:val="890"/>
        <w:jc w:val="center"/>
        <w:spacing w:before="120" w:beforeAutospacing="0" w:after="120" w:afterAutospacing="0" w:line="360" w:lineRule="auto"/>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95"/>
        <w:jc w:val="center"/>
        <w:spacing w:before="120" w:beforeAutospacing="0" w:after="120" w:afterAutospacing="0" w:line="360" w:lineRule="auto"/>
        <w:rPr>
          <w:rFonts w:hint="eastAsia" w:ascii="黑体" w:hAnsi="宋体" w:eastAsia="黑体" w:cs="黑体"/>
          <w:color w:val="000000"/>
          <w:sz w:val="44"/>
          <w:szCs w:val="44"/>
          <w:highlight w:val="none"/>
        </w:rPr>
      </w:pPr>
      <w:r>
        <w:rPr>
          <w:rFonts w:hint="eastAsia" w:ascii="宋体" w:hAnsi="宋体" w:eastAsia="宋体" w:cs="宋体"/>
          <w:color w:val="000000"/>
        </w:rPr>
        <w:t xml:space="preserve">签订日期：      年    月   日</w:t>
      </w:r>
      <w:r>
        <w:rPr>
          <w:rFonts w:hint="eastAsia" w:ascii="黑体" w:hAnsi="宋体" w:eastAsia="黑体" w:cs="黑体"/>
          <w:color w:val="000000"/>
          <w:sz w:val="44"/>
          <w:szCs w:val="44"/>
        </w:rPr>
        <w:br w:type="page" w:clear="all"/>
      </w:r>
      <w:r/>
    </w:p>
    <w:p>
      <w:pPr>
        <w:pStyle w:val="895"/>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0" w:name="_Toc26554093"/>
      <w:r/>
      <w:bookmarkStart w:id="171" w:name="_Toc49090575"/>
      <w:r>
        <w:rPr>
          <w:rFonts w:hint="eastAsia" w:ascii="宋体" w:hAnsi="宋体" w:eastAsia="宋体" w:cs="Times New Roman"/>
          <w:i w:val="0"/>
          <w:iCs w:val="0"/>
          <w:color w:val="000000"/>
          <w:sz w:val="24"/>
          <w:szCs w:val="24"/>
          <w:u w:val="none"/>
          <w:lang w:val="en-US" w:eastAsia="zh-CN"/>
        </w:rPr>
        <w:t xml:space="preserve">项目属性:货物类项目。</w:t>
      </w:r>
      <w:bookmarkEnd w:id="170"/>
      <w:r/>
      <w:bookmarkEnd w:id="171"/>
      <w:r/>
      <w:r/>
    </w:p>
    <w:p>
      <w:pPr>
        <w:ind w:firstLine="482"/>
        <w:jc w:val="left"/>
        <w:spacing w:line="360" w:lineRule="auto"/>
        <w:rPr>
          <w:rFonts w:hint="eastAsia" w:ascii="宋体" w:hAnsi="宋体" w:eastAsia="宋体" w:cs="Times New Roman"/>
          <w:b/>
          <w:bCs/>
          <w:i w:val="0"/>
          <w:iCs w:val="0"/>
          <w:color w:val="000000"/>
          <w:sz w:val="24"/>
          <w:szCs w:val="24"/>
          <w:u w:val="none"/>
          <w:lang w:val="en-US" w:eastAsia="zh-CN"/>
        </w:rPr>
      </w:pPr>
      <w:r>
        <w:rPr>
          <w:rFonts w:hint="eastAsia" w:ascii="宋体" w:hAnsi="宋体" w:cs="Times New Roman"/>
          <w:b/>
          <w:bCs/>
          <w:i w:val="0"/>
          <w:iCs w:val="0"/>
          <w:color w:val="000000"/>
          <w:sz w:val="24"/>
          <w:szCs w:val="24"/>
          <w:u w:val="none"/>
          <w:lang w:val="en-US" w:eastAsia="zh-CN"/>
        </w:rPr>
        <w:t xml:space="preserve">一</w:t>
      </w:r>
      <w:r>
        <w:rPr>
          <w:rFonts w:hint="eastAsia" w:ascii="宋体" w:hAnsi="宋体" w:eastAsia="宋体" w:cs="Times New Roman"/>
          <w:b/>
          <w:bCs/>
          <w:i w:val="0"/>
          <w:iCs w:val="0"/>
          <w:color w:val="000000"/>
          <w:sz w:val="24"/>
          <w:szCs w:val="24"/>
          <w:u w:val="none"/>
          <w:lang w:val="en-US" w:eastAsia="zh-CN"/>
        </w:rPr>
        <w:t xml:space="preserve">、主要设备技术参数要求</w:t>
      </w:r>
      <w:r/>
    </w:p>
    <w:tbl>
      <w:tblPr>
        <w:tblStyle w:val="885"/>
        <w:tblW w:w="9776" w:type="dxa"/>
        <w:tblInd w:w="-5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4"/>
        <w:gridCol w:w="1152"/>
        <w:gridCol w:w="1464"/>
        <w:gridCol w:w="4168"/>
        <w:gridCol w:w="848"/>
        <w:gridCol w:w="704"/>
        <w:gridCol w:w="536"/>
      </w:tblGrid>
      <w:tr>
        <w:trPr>
          <w:trHeight w:val="280"/>
        </w:trPr>
        <w:tc>
          <w:tcPr>
            <w:gridSpan w:val="7"/>
            <w:shd w:val="clear" w:color="auto" w:fill="auto"/>
            <w:tcBorders>
              <w:top w:val="single" w:color="auto" w:sz="4" w:space="0"/>
              <w:left w:val="single" w:color="auto" w:sz="4" w:space="0"/>
              <w:bottom w:val="single" w:color="auto" w:sz="4" w:space="0"/>
              <w:right w:val="single" w:color="auto" w:sz="4" w:space="0"/>
            </w:tcBorders>
            <w:tcW w:w="9776"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一、沿海预警监管平台</w:t>
            </w:r>
            <w:r/>
          </w:p>
        </w:tc>
      </w:tr>
      <w:tr>
        <w:trPr>
          <w:trHeight w:val="280"/>
        </w:trPr>
        <w:tc>
          <w:tcPr>
            <w:shd w:val="clear" w:color="auto" w:fill="auto"/>
            <w:tcBorders>
              <w:top w:val="single" w:color="auto" w:sz="4" w:space="0"/>
              <w:left w:val="single" w:color="000000" w:sz="4" w:space="0"/>
              <w:bottom w:val="single" w:color="000000" w:sz="4" w:space="0"/>
              <w:right w:val="single" w:color="000000" w:sz="4" w:space="0"/>
            </w:tcBorders>
            <w:tcW w:w="9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gridSpan w:val="3"/>
            <w:shd w:val="clear" w:color="auto" w:fill="auto"/>
            <w:tcBorders>
              <w:top w:val="single" w:color="auto" w:sz="4" w:space="0"/>
              <w:left w:val="single" w:color="000000" w:sz="4" w:space="0"/>
              <w:bottom w:val="single" w:color="000000" w:sz="4" w:space="0"/>
              <w:right w:val="single" w:color="000000" w:sz="4" w:space="0"/>
            </w:tcBorders>
            <w:tcW w:w="67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功能定义</w:t>
            </w:r>
            <w:r/>
          </w:p>
        </w:tc>
        <w:tc>
          <w:tcPr>
            <w:shd w:val="clear" w:color="auto" w:fill="auto"/>
            <w:tcBorders>
              <w:top w:val="single" w:color="auto"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5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系统模块</w:t>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一级模块</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二级模块</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模块功能描述</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综合管理系统</w:t>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应急资源管理</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预案管理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应急预案进行数字化管理的预案模版，通过对模板配置，将应急预案进行数字化和流程化处理，便于应急事件发生时，快速按预案进行处置</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配合部门及人员管理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对配合部门、配合人员的部门、职责、联系方式进行管理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专家管理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建设专家库，对专家信息、擅长领域、联系方式等信息进行管理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应急物资管理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对应急物资信息进行管理，包括基本信息、位置、物资清单等，便于统一指挥时及时根据事故类型和级别及时调用相关力量</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救援队伍管理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对辖区以及周边的救援队伍信息进行管理，包括基本信息、位置、救援力量、成员、优势救援偏向、联系人等信息，便于统一指挥时及时根据事故类型和级别及时调用相关力量</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野生动物救助站</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对野生动物救助站信息进行管理、包括位置、能力、擅长、联系人和联系方式等信息</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医院管理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医院信息，包括名称、地图点位、面积、人流量、擅长等信息</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滩涂安全管理</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滩涂信息管理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支持对滩涂的信息进行地理化标记和数字化信息管理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设备点位信息管理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对滩涂对应的设备进行管理，如摄像头、气象监测设备</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风险区域GIS管理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对滩涂的风险区域进行地理化管理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对滩涂设备监控的预警信息进行跟踪和管理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告警通知管理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可支持线上线下告警通知</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历史预警管理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对历史预警进行管理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G228危险化学品车辆监控管理</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G228国道信息管理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对G228国道辖区管理段进行地理化和信息化管理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G228监控管理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对G228国道高速监控设备和点位进行管理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入境通知管理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对接数据中台，对危化品运输车辆入境进行管理和通知</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入境记录管理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对接数据中台，对入境记录进行管理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对预警进行管理，包括预警级别、预警策略、通知策略、处置策略、预警记录等</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海上走私</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链接近海防控管理平台</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滩涂小取</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地理化展示</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支持对滩涂的地理化展示，对重点区域的标记</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救援力量展示</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支持对滩涂救援的救援物资、力量、设备的展示</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风险标记</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支持对重点风险的标记和管理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G228国道公路危化品车辆运输监管</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地理化展示</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支持对国道管理范围的地理化标注</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救援力量</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支持救援物资、力量、设备的展示</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风险标记</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对重点风险区域、事故高发区域的展示</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海上走私打击</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支持链接近海防控平台</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资源中心一张图</w:t>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视频中心</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地理位置信息</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对视频进行地理化点位展示</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实时视频</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支持查看实时视频</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视频墙</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支持4、6、9宫格视频墙</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视频墙编辑</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支持视频墙展示的视频设备编辑，动态配置</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视频点位信息管理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对视频进行地理化点位管理，在地图展示视频位置</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资源中心</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资源地理位置信息展示</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支持通过地理化的方式展示应急资源</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应急物资</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对应急物资进行展示分析</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救援力量</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对救援力量进行展示分析</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野生动物救助站</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对野生动物救助站信息进行展示分析</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医院管理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对医院位置、擅长、能力进行展示分析</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物联装备中心</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地理位置信息</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对物联设备进行地理化管理和展示</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实时数据展示</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支持查看物联设备（如液位仪）实时数据</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风险统计</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对风险点位进行统计</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预警中心</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预警风险点位</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对预警进行统计，支持地理化展示风险点位</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预警内容</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对预警内容进行实时展示</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预警分析</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对预警类型、预警趋势进行统计分析</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救援力量一张图</w:t>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应急预案</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预案生成</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根据预案，自动创建指挥机构、工作组。如综合协调组、事故救援组、疏散警戒组、医疗卫生组等</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预案处置</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根据预案，实时显示处置预案流程，并实时地跟踪监督处置预案的完成步骤。</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救援队伍</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基本信息管理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对辖区以及周边的救援队伍信息进行管理，包括基本信息、位置、救援力量、成员、优势救援偏向、联系人等信息，便于统一指挥时及时根据事故类型和级别及时调用相关力量</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应急物资</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基本信息管理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对辖区应急物资信息进行管理，包括基本信息、位置、物资清单等，便于统一指挥时及时根据事故类型和级别及时调用相关力量</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专家队伍</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专家库管理</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系统维护专家库，对专家的基本信息、联系方式、家庭住址、技能偏向、主要业绩等信息进行维护管理。支持对专家的分级管理</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配合部门</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配合部门展示</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根据事故级别、类型和预案，将配合部门和主要联系人进行组织展示</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现场视频</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周边视频</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事故创建的第一时间，根据视频算法规则，将事故点周围的所有视频调阅展示，便于指挥部第一时间了解现场情况</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现场视频</w:t>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支持接入现场球机视频画面，便于实时掌握现场情况</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周边风险或资源</w:t>
            </w:r>
            <w:r/>
          </w:p>
        </w:tc>
        <w:tc>
          <w:tcPr>
            <w:shd w:val="clear" w:color="auto" w:fill="ffffff"/>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对事件周边风险、资源进行展示分析</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系统管理</w:t>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用户管理</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角色管理</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权限管理</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统一认证</w:t>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视频融合平台</w:t>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适配改造</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系统测试</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7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前端页面自测试、通过JSON格式数据展示、样式、兼容性等</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集成测试</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7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后端接口联调集成测试，配合优化前端页面及参数</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安装部署</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7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安装部署环境，包括数据库、web服务器、应用服务等部署工作</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7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运维工作</w:t>
            </w:r>
            <w:r/>
          </w:p>
        </w:tc>
        <w:tc>
          <w:tcPr>
            <w:shd w:val="clear" w:color="auto" w:fill="ffffff"/>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6"/>
            <w:shd w:val="clear" w:color="auto" w:fill="auto"/>
            <w:tcBorders>
              <w:top w:val="single" w:color="000000" w:sz="4" w:space="0"/>
              <w:left w:val="single" w:color="000000" w:sz="4" w:space="0"/>
              <w:bottom w:val="single" w:color="000000" w:sz="4" w:space="0"/>
              <w:right w:val="single" w:color="000000" w:sz="4" w:space="0"/>
            </w:tcBorders>
            <w:tcW w:w="9240"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二、近海智慧监管平台</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设备分类</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4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监控雷达</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远程雷达（核心产品）</w:t>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工作频段：X波段(9.6Ghz~9.8Ghz)；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工作体制：有源相控阵（AESA）体制；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 跳频数量：8；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扫描范围：≥90°方位扇区；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人员≥15km，小型船艇≥27km，大型船舶≥40km；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探测精度：距离≤4.5m，方位≤0.22°，速度≤±0.35m/s±2%；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 探测盲区：≤45m；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同时跟踪目标批数：≥5000批；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 跟踪速度范围：0.1m/s ~ 110m/s；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 数据间隔：≤1.0s；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优异的抗杂波能力，常见杂波不引起虚警；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 功耗：≤220W；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 供电范围：220VAC；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 通信接口：千兆以太网；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 环境适应性：-40～+55℃，防护等级IP67；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重量：≤30Kg；</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中程雷达（核心产品）</w:t>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工作频段：X波段(9.6Ghz~9.8Ghz)；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工作体制：有源相控阵（AESA）体制；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 跳频数量：≥6；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扫描范围：≥90°方位扇区；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人员≥7km，小型船艇≥12km，大型船舶≥20km；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探测精度：距离≤5m，方位≤0.25°，速度≤±0.4m/s±2%；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 探测盲区：≤40m；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同时跟踪目标批数：≥80批；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 跟踪速度范围：0.0m/s～100m/s；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 数据间隔：≤1.0s；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优异的抗杂波能力，常见杂波不引起虚警；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 功耗：≤85W；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 供电范围：48VDC；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 通信接口：千兆以太网；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 环境适应性：-40～+55℃，防护等级IP67；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重量：≤32Kg；</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4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雷达数据处理一体化主机</w:t>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运行特性：支持来电自启动，系统稳定可靠、不间断运行。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阵面融合：支持按站点对多阵面点迹进行数据融合。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点迹凝聚：具备点迹凝聚处理能力，生成雷达标绘信息。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航迹录取：基于标绘信息完成目标航迹录取与输出。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航迹关联：高质量航迹关联，支持拟合≥40 个历史雷达周期并实现轨迹模拟外推。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增益与杂波抑制：支持增益调节，具备海杂波抑制能力。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杂波图与目标处理：内置杂波图算法，可扩展目标轨迹分析、动 / 静目标识别，过滤海浪、尾浪等假目标。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校准功能：支持指北校准与同步信号延迟校准。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区域与目标识别：支持按区域自定义目标类型识别。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结构与散热：铝制散热格栅设计，满足户外环境下 CPU 满载稳定运行。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主板与防护：工业级工控主板，采用三防漆工艺，防水汽腐蚀。</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AIS设备</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AIS设备</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1、接收机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支持标准：IEC 62287-1、IEC 61108-1、IEC 60945、IEC 61162-1、ITU-RM.1371-5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频率范围：156.025~162.025MHz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默认频道：AIS1、AIS2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带宽：支持25kHz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接收灵敏度：优于-110dBm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数据接口：一个RS232接口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数据输出格式：NMEA 0183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2、VHF天线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频率范围：155~163MHz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极化方向：支持垂直极化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天线增益：≥3.5dBi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驻波比：≤1.2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阻抗：不低于50Ω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3.软件功能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（1）AIS数据接入，支持接收来自于AIS接收机串口的数据或者通过TCP_Server、TCP_Client、UDP_Server接收来自其他设备的数据。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（2）对AIS原始语句进行解析，获取AIS目标，内容包含：纬度、经度、航向（度）、速度（节）、船籍、船舶MMSI号、船长（单位：米）、船宽（单位：米）、AIS设备类型（A类或B类）、目的地、目标状态等信息。</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884"/>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联动光电设备</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非制冷光电设备</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可见光参数（需提供公安部检测报告证明）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（1）焦距：不低于10～900mm；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（2）尺寸：不低于1/1.8"；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（3）分辨率：不低于2688×1520。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（4）探测距离：能见度≥15公里，湿度80%～90%情况下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≥10km，小型船舶(10m × 5m)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≥14km，中型船舶(60m × 15m)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≥17km，大型船舶(100m × 50m)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（5）支持光学防抖、电子防抖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（6）支持光学透雾、电子透雾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红外参数（需提供公安部检测报告证明）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（1）探测器：氧化钒非制冷；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（2）分辨率：不低于640×512；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（3）响应波段：不低于8～14μm；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（4)像元：不低于17μm；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（5）热灵敏度：≤35mk@25℃；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（6）焦距：不低于30～150mm；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（7）最大光圈值：不低于0.85。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（8）探测距离：能见度≥15公里，湿度80%～90%情况下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≥3km，小型船舶(10m × 5m)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≥5km，中型船舶(60m × 15m)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≥7km，大型船舶(100m × 50m)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 云台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（1）水平速度：不低于0.01°/s～90°/s；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（2）俯仰速度：不低于0.01°/s～60°/s。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4.功能（需提供公安部检测报告证明）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▲可根据接收到的目标经纬度、航向、航速等动态信息自动定位和跟踪目标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▲可通过框选视频画面中的目标，锁定目标并自动跟踪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▲在无任务时，可自动对水面进行巡航扫描，自动识别水面目标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▲可对监控画面中出现的船只进行识别、检测、跟踪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▲可接入雷达，根据雷达下发的坐标进行联动跟踪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▲可通过输入目标经纬度数据，计算出光电设备相对于目标的俯仰角度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▲可根据目标距离、大小自动调光电设备机角度，使得目标占视频画面水平方向的1/3~1/2大小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▲光电设备外接雷达设备后:可自动识别船只，持续跟踪并保持船只目标处于画面中央位置</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室外防水机柜</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观尺寸与结构：箱体厚度≥1.5mm，采用耐腐蚀高纯度工业铝板，表面喷塑处理，箱体背部承重处加强处理，安装连接件采用304不锈钢，箱体外尺寸：≥430(宽)*535(高)*220(深)mm。设备顶部具有圆弧形防雨帽，四边圆弧形，U形主体机壳，无棱角；柜门与机箱采用四杆风勾机构，设有限位装置，箱门打开后可自动限位，防止柜门转动回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2.工作环境：工作温度范围-55℃～+85℃，工作电压范围AC60V～AC280V，外壳防护等级≥IP55，机械碰撞防护等级≥IK08，盐雾测试≥120小时，稳态接触电流应不大于5mA，绝缘电阻不小于2MΩ。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3.接口规格：内置物联终端，集成重合闸、板载防雷器、智能配电单元、显示屏、语音播报模块、过载保护器、4路AC220V 5孔插座、4路AC220V接线端子、姿态检测模块、智能漏电告警模块、3路开关量输入、3路开关量输出、1路RJ45接口、1路USB调试 接口、1个复位按键、2路网络防雷、2路RS232/485接口；内置DC12V风扇、柜门检测开关、熔纤盘及光纤固定座。</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网络设备</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8个千兆自适应以太网口；支持10/100/1000Mbps自适应；支持12~48VDC 冗余电源输入和继电器报警；提供广播风暴保护。</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避雷针</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避雷针</w:t>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3米3球不锈钢，针尖直径不低于16mm，小球直径不低于200mm，含引线等</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100兆互联网宽带</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雷达支架</w:t>
            </w:r>
            <w:r/>
          </w:p>
        </w:tc>
        <w:tc>
          <w:tcPr>
            <w:shd w:val="clear" w:color="auto" w:fill="auto"/>
            <w:tcBorders>
              <w:top w:val="single" w:color="000000" w:sz="4" w:space="0"/>
              <w:left w:val="single" w:color="000000" w:sz="4" w:space="0"/>
              <w:bottom w:val="none" w:color="000000" w:sz="4" w:space="0"/>
              <w:right w:val="single" w:color="000000" w:sz="4" w:space="0"/>
            </w:tcBorders>
            <w:tcW w:w="1464"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根据现场环境和安装位置定制</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光电支架</w:t>
            </w:r>
            <w:r/>
          </w:p>
        </w:tc>
        <w:tc>
          <w:tcPr>
            <w:shd w:val="clear" w:color="auto" w:fill="auto"/>
            <w:tcBorders>
              <w:top w:val="single" w:color="000000" w:sz="4" w:space="0"/>
              <w:left w:val="single" w:color="000000" w:sz="4" w:space="0"/>
              <w:bottom w:val="none" w:color="000000" w:sz="4" w:space="0"/>
              <w:right w:val="single" w:color="000000" w:sz="4" w:space="0"/>
            </w:tcBorders>
            <w:tcW w:w="1464"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根据现场环境和安装位置定制</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防雷模块</w:t>
            </w:r>
            <w:r/>
          </w:p>
        </w:tc>
        <w:tc>
          <w:tcPr>
            <w:shd w:val="clear" w:color="auto" w:fill="auto"/>
            <w:tcBorders>
              <w:top w:val="single" w:color="000000" w:sz="4" w:space="0"/>
              <w:left w:val="single" w:color="000000" w:sz="4" w:space="0"/>
              <w:bottom w:val="none" w:color="000000" w:sz="4" w:space="0"/>
              <w:right w:val="single" w:color="000000" w:sz="4" w:space="0"/>
            </w:tcBorders>
            <w:tcW w:w="1464"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包含：供电防雷模块（交流、直流根据实际选配）、高频防雷模块、网络信号防雷模块、控制信号防雷模块。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1、供电防雷模块：直流48V防雷/交流220V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2、高频防雷模块：阻抗50欧配合AIS接收机使用，装在接收机端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3、网络信号防雷模块：最大放电电流Imax（8/20μs）：6kV/3kA(每线)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4、控制信号防雷模块：最大放电电流Imax（8/20μs）：10kA；传输速率：1Mbps；限制电压Up：60V</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安装调试</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50米高层作业：接线、调试、上线；含软件系统运维，硬件设备巡检，针对设备故障或者线缆接触不良等情况进行修复，保障系统正常运行。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安装辅材</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光纤尾纤、网线、电源线、扎线、防水胶带、美工刀、剥线钳、巡线仪、标签机、</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基础建设</w:t>
            </w:r>
            <w:r/>
          </w:p>
        </w:tc>
        <w:tc>
          <w:tcPr>
            <w:shd w:val="clear" w:color="auto" w:fill="auto"/>
            <w:tcBorders>
              <w:top w:val="single" w:color="000000" w:sz="4" w:space="0"/>
              <w:left w:val="none" w:color="000000" w:sz="4" w:space="0"/>
              <w:bottom w:val="none" w:color="000000" w:sz="4" w:space="0"/>
              <w:right w:val="single" w:color="000000" w:sz="4" w:space="0"/>
            </w:tcBorders>
            <w:tcW w:w="146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50米高层作业：抗风钢结构支架，墙体固定，防水处理</w:t>
            </w:r>
            <w:r/>
          </w:p>
        </w:tc>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近海防控近海智慧监测系统</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近海小目标雷达网监控应用系统</w:t>
            </w:r>
            <w:r>
              <w:rPr>
                <w:rStyle w:val="900"/>
                <w:lang w:val="en-US" w:eastAsia="zh-CN" w:bidi="ar"/>
              </w:rPr>
              <w:t xml:space="preserve">V1.0</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基础配置部分</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底图显示：包括海图显示、陆图显示、卫星图、海图地图、海图卫星的自定义切换，同时支持白天、黄昏、夜晚模式自主选择；</w:t>
            </w:r>
            <w:r/>
          </w:p>
        </w:tc>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综合态势：包括雷达</w:t>
            </w:r>
            <w:r>
              <w:rPr>
                <w:rStyle w:val="900"/>
                <w:lang w:val="en-US" w:eastAsia="zh-CN" w:bidi="ar"/>
              </w:rPr>
              <w:t xml:space="preserve">/AIS目标实时测绘、区域目标轨迹实时标绘、目标筛选/标记等，根据海图缩放调整自动显示区域目标分布及密度；</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目标查询：支持通过船名、</w:t>
            </w:r>
            <w:r>
              <w:rPr>
                <w:rStyle w:val="900"/>
                <w:lang w:val="en-US" w:eastAsia="zh-CN" w:bidi="ar"/>
              </w:rPr>
              <w:t xml:space="preserve">MMSI查询目标信息，结果包括目标类型，目标长度、实时位置信息、目标轨迹分布及轨迹位置时间点信息等；</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记录回放：系统支持自定义任意时间段内的目标的历史轨迹回放，快捷</w:t>
            </w:r>
            <w:r>
              <w:rPr>
                <w:rStyle w:val="900"/>
                <w:lang w:val="en-US" w:eastAsia="zh-CN" w:bidi="ar"/>
              </w:rPr>
              <w:t xml:space="preserve">30分钟/2小时时间内10海里范围选择，支持单倍到最大200倍的快速回放；</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预警区域：支持绘制基于线、多边形、圆形的警戒区域；支持基于预警规则的各类预警模型绘制；关联预警模型与区域，并实时系统预警，记录预警轨迹、图片等信息；</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统计分析：根据区域、等级、目标类型、预警类型进行统计分析，支持按年</w:t>
            </w:r>
            <w:r>
              <w:rPr>
                <w:rStyle w:val="900"/>
                <w:lang w:val="en-US" w:eastAsia="zh-CN" w:bidi="ar"/>
              </w:rPr>
              <w:t xml:space="preserve">/月/天/时段进行查询，结果以表、柱状图、折线等方式呈现</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系统架构支撑：提供系统底层架构和软件支撑相关服务，以及提供组织结构配置、用户及角色管理、权限菜单管理、客户</w:t>
            </w:r>
            <w:r>
              <w:rPr>
                <w:rStyle w:val="900"/>
                <w:lang w:val="en-US" w:eastAsia="zh-CN" w:bidi="ar"/>
              </w:rPr>
              <w:t xml:space="preserve">Logo管理、黑白名单管理及个人信息管理设置、字典码表管理等前端应用功能等；</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数据融合</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雷达数据融合：在数据实时性</w:t>
            </w:r>
            <w:r>
              <w:rPr>
                <w:rStyle w:val="900"/>
                <w:lang w:val="en-US" w:eastAsia="zh-CN" w:bidi="ar"/>
              </w:rPr>
              <w:t xml:space="preserve">2s以内，数据更新率5s以内，数据准确率90%以上的情况下数据融合率85%以上；</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w:t>
            </w:r>
            <w:r>
              <w:rPr>
                <w:rStyle w:val="900"/>
                <w:lang w:val="en-US" w:eastAsia="zh-CN" w:bidi="ar"/>
              </w:rPr>
              <w:t xml:space="preserve">/源</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AIS</w:t>
            </w:r>
            <w:r>
              <w:rPr>
                <w:rStyle w:val="900"/>
                <w:lang w:val="en-US" w:eastAsia="zh-CN" w:bidi="ar"/>
              </w:rPr>
              <w:t xml:space="preserve">数据融合：在数据实时性2s以内，数据更新率5s以内，数据准确率90%以上的情况下数据融合率85%以上；</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w:t>
            </w:r>
            <w:r>
              <w:rPr>
                <w:rStyle w:val="900"/>
                <w:lang w:val="en-US" w:eastAsia="zh-CN" w:bidi="ar"/>
              </w:rPr>
              <w:t xml:space="preserve">/源</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船舶身份融合：支持对船舶数据库、</w:t>
            </w:r>
            <w:r>
              <w:rPr>
                <w:rStyle w:val="900"/>
                <w:lang w:val="en-US" w:eastAsia="zh-CN" w:bidi="ar"/>
              </w:rPr>
              <w:t xml:space="preserve">AIS信息进行关联融合；</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每千艘</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系统预警服务</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基础预警：包括闯入、闯出、过线、速度等行为预警；</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船舶身份预警：包括</w:t>
            </w:r>
            <w:r>
              <w:rPr>
                <w:rStyle w:val="900"/>
                <w:lang w:val="en-US" w:eastAsia="zh-CN" w:bidi="ar"/>
              </w:rPr>
              <w:t xml:space="preserve">AIS关闭、船舶类型、黑名单预警；</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航迹信息预警：单拖、双拖、搭靠、碰撞、抛锚、滞留；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多条件预警：基于以上单个条件或多个条件的综合预警：包含涉嫌走私、大飞；</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大数据技术平台</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大数据看板：包括综合态势、任务列表、统计分析、智能监管四大模块。</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数据清洗及存储：搭建大数据平台，对融合处理后的数据进行抽稀、增量数据补全、异常数据剔除等处理，并根据后续分析需求将相关数据存入数据</w:t>
            </w:r>
            <w:r>
              <w:rPr>
                <w:rStyle w:val="900"/>
                <w:lang w:val="en-US" w:eastAsia="zh-CN" w:bidi="ar"/>
              </w:rPr>
              <w:t xml:space="preserve">(仓)库中。</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数据查询服务：包含单目标、区域、全域目标查询及回放服务；</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海图数据服务：能够提供中国海区的海图、陆图、影像图及海图融合图；</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大数据分析：基于目标特征、预警事件、时间空间约束的离线分析、热力图、密度图，基于行为异常的离线分析和定制的离线分析等；</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光电设备接入与联动</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括光电手动控制、雷达引导光电随动、光电居中，支持光电列表随海图视野自动显示，同时系统自动显示实时光电的位置名称、当前日期和时间等；光电接入及联动校正服务：包含光电视频接入，联动校正使得跟踪时目标处于画面正中央；</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46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第三方设备接入软件接口</w:t>
            </w:r>
            <w:r>
              <w:rPr>
                <w:rStyle w:val="900"/>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VHF系统对接：打通近海防控报警信息与优能的VHF设备接口，实现报警文字信息可以通过VHF设备转成语音信号，发送至船载VHF设备。</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46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雷达回波处理：支持对雷达识别的目标回波在海图中进行显示。</w:t>
            </w:r>
            <w:r/>
          </w:p>
        </w:tc>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53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7"/>
            <w:shd w:val="clear" w:color="auto" w:fill="auto"/>
            <w:tcBorders>
              <w:top w:val="single" w:color="000000" w:sz="4" w:space="0"/>
              <w:left w:val="single" w:color="000000" w:sz="4" w:space="0"/>
              <w:bottom w:val="single" w:color="000000" w:sz="4" w:space="0"/>
              <w:right w:val="single" w:color="000000" w:sz="4" w:space="0"/>
            </w:tcBorders>
            <w:tcW w:w="97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三、VHF</w:t>
            </w:r>
            <w:r/>
          </w:p>
        </w:tc>
      </w:tr>
      <w:tr>
        <w:trPr>
          <w:trHeight w:val="252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VHF天线</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（1）频率范围134-173MHz；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（2）增益6.5dBi；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（3）驻波比≤1.5：1；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（4）输入阻抗50Ω；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（5）极化方式垂直；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（6）功率容量150W；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（7）方向性水平面全向；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（8）带宽8MHz；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（9）抗风速≥60m/s。</w:t>
            </w:r>
            <w:r/>
          </w:p>
        </w:tc>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72"/>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VHF收发信机</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发射指标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1、频率范围：156.000-174.000MHz；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2、发射类型：G2B（DSC时）；G3E或F3E（RT时）；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3、工作方式：同频单工、异频单工、双工；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4、频道间隔：25kHz；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5、频率容限：＜±5×10-6；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6、输出功率：50W（可调）；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7、射频输出阻抗：50；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8、调制指数：2±0.2；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9、容许调制频偏：±5kHz；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10、占用带宽：≤16kHz；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11、预加重：6dB（±3dB）/每倍频程；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12、谐波辐射：≤-26dBm；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13、音频响应(300 Hz～3000Hz)：＜3dB；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14、杂散辐射：当载波功率大于25W时，任一离散频率的杂散辐射功率衰减量应大于70dB，当载波功率低于或等于25W时，落在国际水上移动业务频段内的任一离散频率的杂散辐射功率应不高于2.5μW；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15、音频失真系数：＜2%；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16、频道转换时间：＜2s；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17、机箱辐射功率：≤25μW；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18、连续发射时间：≥30min，各项指标不改变；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19、监控性能：全面板遥控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20、保护：具有过热、过流、过压保护。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接收指标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1、频率范围：156.000-174.000MHz；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2、灵敏度：≤0.25μV（SINAD=12dB）；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3、邻频道抑制：＞80dB；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4、寄生抑制：＞90dB；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5、互调抑制：＞80dB；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6、抗大信号阻塞：＞100dB；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7、反向辐射：≤2×10－9W；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8、去加重：-6dB（±3dB/每倍频程）；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9、射频输入阻抗：50Ω；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10、静噪关闭时间：≤250ms；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11、静噪启动时间：≤150ms；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12、静噪控制：可自动和人工调整；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13、音频响应（300 Hz～3000Hz）：≤3dB；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14、音频失真系数：＜2%；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15、音频输出功率：≥0.5W；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16、监控性能：全面板遥控</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52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基站控制器</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（1）以太网接口：2个；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（2）业务接口：2个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（3）支持协议 ：支持SIP协议、RTP协议、RTSP协议；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（4）无线接入类型：支持二/四线本地PTT控制、模拟/常规电台、数字/常规电台、数字/集群电台等多种电台类型；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（5）协议编解码：支持G.711，G.723， G.729等多种语音编解码；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（6）配置方式：支持串口、WEB、Telnet多种配置方式；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（7）收发信机控制：支持PTT、VOX、COR等多种控制方式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▲（8）支持断网情况下的接入信道自动本地录音，保存时间不小于72小时</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双工器</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（1）工作频率156~174MHZ；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（2）插入损耗≤1.2dB；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（3）收发隔离度≥75dB；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（4）输入阻抗50Ω；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（5）输出阻抗50Ω；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（6）寄生抑制≥75dB；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（7）驻波比≤1.5；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（8）允许发射功率&gt;100W；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（9）双工收发间隔4.6Mhz；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（10）支持单双工模式自动切换，可以自动根据发射频率调整单工或者双工工作状态。</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天线支架</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定制，设备安装配套</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24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同轴避雷器</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（1）频率范围：DC～1500MHz；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（2）射频阻抗：50Ω；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（3）输入损耗：≤0.5dB；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（4）电压驻波比：≤1.2；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（5）最大功率 ：250W；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（6）冲击波放电电压：1000V；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（7）冲击波放电电流：（8/20μs）10KA；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（8）冲击波放电次数：≥500。</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0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射频同轴电缆</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（1）规格：RF50 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（2）最小弯曲半径：120 毫米；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（3）直流电阻 ：1.05欧姆/千米；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（4）阻抗：50±1欧姆；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（5）衰减(150MHz)：1.8dB/100 米；</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12U</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4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施工安装辅材</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射频跳线、馈线头、跳线头、电台语音及数据线、设备电源线、设备接地线、网线、水晶头、机柜螺丝、机柜导轨、防水胶带、防水胶泥、馈线夹、天线支架、50米高空钢结构上加固支架（抗11级风力）及高空作业安装调试</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32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通信控制器软件/录音软件</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（1）交换方式：IP软交换，支持冗余热备份、无缝切换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（1）协议标准：基于IP协议标准；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（2）系统容量：无线信道接入容量：6个，坐席接入容量：4个；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（3）音频编码支持 ：支持广泛的G711A, G711U, G729等；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（4）接入方式：支持无线、有线接入方式，包括：各类无线电台、有线数字中继和模拟中继等；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（5）具备模/数字话音交换功能；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（6）能同时对所有信道进行录音，能人工/自动启动和停止录音，启动录音门限电平可调；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（7）有年、月、日、时、分记录，能进行录音监听、查询及保存录音资料；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（8）连续录音时间应大于2000小时，记录数据能转录至可写光盘作永久保存；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（9）可以设置无效录音时间、单文件最长录音时间、录音文件路径；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（10）以录音时间和录音通道号均可以快速查询及播放，重要时段录音可人工转存；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（11）系统：符合国产化信创要求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▲（12）部署方式：支持服务器本地部署或云部署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▲（13）系统参数中具有同频抑制功能，当开通同频抑制功能时，系统内多个VHF收发信机在收到同一搜船舶的语音时，系统能够根据接收信号的电平进行比选，并自动选择最优信号的基站信道机语音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▲（14）语音处理延时&lt;200ms。</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24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VHF操作终端</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管理信道数：≥32个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音频接口：支持手柄（带PTT）、耳机（带PTT），麦克风、脚踏开关等多种音频输入/输出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▲音频组件为IP软交换方式的一体化按键式调度台，1个桌面麦克风和2个桌面扬声器及脚踏PTT组件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▲按键：分布合理，可重新编程，可配置不少于3个信道快捷键，有指示灯表明信道接收、发射状态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▲音频单元具备急通信功能，在操作终端软件瘫痪的情况下，可利用音频单元进行应急通话。</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none" w:color="000000" w:sz="4" w:space="0"/>
              <w:bottom w:val="non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网络交换机</w:t>
            </w:r>
            <w:r/>
          </w:p>
        </w:tc>
        <w:tc>
          <w:tcPr>
            <w:shd w:val="clear" w:color="auto" w:fill="auto"/>
            <w:tcBorders>
              <w:top w:val="single" w:color="000000" w:sz="4" w:space="0"/>
              <w:left w:val="single" w:color="000000" w:sz="4" w:space="0"/>
              <w:bottom w:val="non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10口，百兆接口，POE供电</w:t>
            </w:r>
            <w:r/>
          </w:p>
        </w:tc>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7"/>
            <w:shd w:val="clear" w:color="auto" w:fill="auto"/>
            <w:tcBorders>
              <w:top w:val="single" w:color="000000" w:sz="4" w:space="0"/>
              <w:left w:val="single" w:color="000000" w:sz="4" w:space="0"/>
              <w:bottom w:val="single" w:color="000000" w:sz="4" w:space="0"/>
              <w:right w:val="single" w:color="000000" w:sz="4" w:space="0"/>
            </w:tcBorders>
            <w:tcW w:w="977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四、无人机</w:t>
            </w:r>
            <w:r/>
          </w:p>
        </w:tc>
      </w:tr>
      <w:tr>
        <w:trPr>
          <w:trHeight w:val="819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无人机机场</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1.▲整机重量≤200千克（不包含飞行器）；（检测报告）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2.舱盖开启尺寸（长×宽×高）：长≤2000毫米，宽≤900毫米，高≤800毫米；（检测报告）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3.设备底座显示屏尺寸：≥32寸，设备底座高度≥180cm；（检测报告或生产厂商官网截图或宣传彩页）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4.机场防护等级：≥IP54；（检测报告）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5.▲充电时间:≤60分钟；（检测报告）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6.机场监控：自带≥1个摄像头；（检测报告或生产厂商官网截图或宣传彩页）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7.空调系统：自带空调系统；（检测报告或生产厂商官网截图或宣传彩页）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8.传感器：风速传感器、雨量传感器；（检测报告或生产厂商官网截图或宣传彩页）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9.基建部署：防水淹、防雷、设置缓冲区或安全护栏、备降点及标识牌；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10.▲可收纳飞行器数量：1台；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11.输入电压：100~240V AC；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12.备用电池：自带备用电源（ups），待机时间≥2.5小时；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13.停机坪尺寸（设备底座面积）≤1平方米；（检测报告或生产厂商官网截图或宣传彩页）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14.无人机尺寸：长≤400毫米，宽≤500毫米，高≤250毫米（不含桨叶）；（检测报告或生产厂商官网截图或宣传彩页）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15.（无人机＋负载）起飞重量≥1500克；（检测报告或生产厂商官网截图或宣传彩页）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16.飞行时间:≥45 分钟；（检测报告或生产厂商官网截图或宣传彩页）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17.飞行海拔高度:≥4000米；（检测报告或生产厂商官网截图或宣传彩页）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18.飞行器自带RTK模块；（检测报告或生产厂商官网截图或宣传彩页）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19.照明方式：常亮、爆闪、有效照明面积≥500平方米；（检测报告或生产厂商官网截图或宣传彩页）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20.飞行器IP防护等级：≥IP55；（检测报告或生产厂商官网截图或宣传彩页）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21.▲有效广播距离≥300米，支持支持实时喊话、录音喊话、媒体导入、文字转语音；（检测报告或生产厂商官网截图或宣传彩页）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22.降落保护触发方式：姿态/失重/落速/遥控、最大保护重量≤2kg；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23.机臂灯光颜色：红色和蓝色；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24.具备支持4G通讯链路；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25.负载镜头：可见光有效像素≥1200，自带变焦相机、红外相机、激光测距；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26.▲其他：部署运维：机场部署、操作培训、维护保养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（1）无人机巡检远程控制、调试；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（2）机场及平台的操作培训；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（3）对接到采购人指定的市公安局或交管支队现有的无人机操作平台；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（4）机场及无人机定期维护保养；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（5）无人机底座的使用及维护。</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1、裸机总量：1850g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2、最大起飞重量：2090g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3、最大抗风速度：12米/秒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4、最长飞行时间：54分钟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5、最大续航里程：43公里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6、影像传感器：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广角相机: 1/1.3 英寸 CMOS，有效像素 4800 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中长焦相机: 1/1.3 英寸 CMOS，有效像素 4800万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长焦相机: 1/1.5 英寸 CMOS，有效像素 4800 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7、热成像相机分辨率：640*512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8、电池容量：6768毫安时</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4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无人机电池</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1、容量6768 毫安时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2、电压22.14 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3、充电限制电压25.5 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4、电池类型Li-ion 6S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5、化学体系镍钴锰酸锂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6、能量149.9 瓦时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7、重量640 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8、循环次数400 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9、充电温度范围5℃ 至 45℃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10、放电倍率4C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11、最大充电功率1.8C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12、支持低温充电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13、支持低温自加热充电</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214"/>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机场调试遥控器</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工作频率*：2.4000-2.4835 GHz；5.150-5.250 GHz；5.725-5.850 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等效全向辐射功率（EIRP）：</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 GHz：&lt; 33 dBm（FCC）；&lt; 20 dBm（CE/SRRC/MIC）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5.1 GHz：&lt; 23 dBm（FCC/CE）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5.8 GHz：&lt; 33 dBm（FCC）；&lt; 14 dBm（CE）；&lt; 30 dBm（SRRC）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Wi-Fi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协议：802.11 a/b/g/n/ac/ax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工作频率*：2.4000-2.4835 GHz；5.150-5.250 GHz；5.725-5.850 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等效全向辐射功率（EIRP）：</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 GHz：&lt; 26 dBm（FCC）；&lt; 20 dBm（CE/SRRC/MIC）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5.1 GHz：&lt; 26 dBm（FCC）；&lt; 23 dBm（CE/SRRC/MIC）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5.8 GHz：&lt; 26 dBm（FCC/SRRC）；&lt; 14 dBm（CE）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蓝牙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协议：蓝牙 5.2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工作频率：2.4000-2.4835 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等效全向辐射功率（EIRP）：&lt; 10 dBm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通用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型号：TKPL2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内置电池：锂离子电池（6500 毫安时 @ 7.2 伏），化学体系：镍钴铝酸锂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充电方式：推荐使用最大功率 100 瓦的 USB-C 快充充电器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额定功耗：12.5 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GNSS：GPS+Galileo+BeiDou</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视频输出接口：HDMI A 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工作环境温度：-20℃ 至 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存放环境温度：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 至 45℃（一个月内）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 至 35℃（大于一个月小于三个月）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 至 30℃（大于三个月小于一年）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充电环境温度：5℃ 至 40℃</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4G模块</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1.新一代增强图传模块，支持 ASDIV（发射天线选择），性能更优，能更好地应对复杂飞行场景。内含 eSIM，因此无需额外插卡也能使用，也支持实体 nano-SIM 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2.新一代增强图传模块可将您的 DJI 设备接入 4G 网络，为您提供高速稳定的联网服务，实现增强图传等多项功能。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3.增强图传：在原有图传的基础上，与 4G 网络共同协作，如原有图传信号受遮挡或干扰，用户仍可借助 4G 网络操控无人机，降低断开连接的几率。</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喊话器</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重量：92.5 克（含支架）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 克（不含支架）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尺寸：长 73 毫米，宽 70 毫米，高 52 毫米（含支架）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 73 毫米，宽 70 毫米，高 47 毫米（不含支架）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最大功率：15 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最大响度：在 1 米处可达 114 分贝（114dB@1m）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有效广播距离：300 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广播方式：实时喊话（支持回声啸叫抑制）、录音喊话、媒体导入（支持边传边播）、文字转语音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工作环境温度：-20℃ 至 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安装方式：快拆手拧螺丝</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探照灯</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重量：99 克（含支架）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91 克（不含支架）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尺寸：长 95 毫米，宽 164 毫米，高 30 毫米（含支架）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 79 毫米，宽 164 毫米，高 28 毫米（不含支架）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最大功率：32 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照度：4.3±0.2 lux @ 100 米，17±0.2 lux @ 50 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有效照明角度：23°（10% 相对照度）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有效照明面积：1300 平方米 @ 100 米（10% 相对照度，普通模式）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2200 平方米 @ 100 米（10% 相对照度，广视野模式）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工作方式：常亮、爆闪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云台结构设计范围：俯仰：-135°至 45°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云台可控转动范围：俯仰：-90°至 35°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云台最大控制转速（俯仰）：120°/s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云台对齐精度：±0.1°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工作环境温度：-20℃ 至 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安装方式：快拆手拧螺丝</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机身险</w:t>
            </w:r>
            <w:r/>
          </w:p>
        </w:tc>
        <w:tc>
          <w:tcPr>
            <w:shd w:val="clear" w:color="auto" w:fill="auto"/>
            <w:tcBorders>
              <w:top w:val="non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每台无人机三年保险</w:t>
            </w:r>
            <w:r/>
          </w:p>
        </w:tc>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机舱险</w:t>
            </w:r>
            <w:r/>
          </w:p>
        </w:tc>
        <w:tc>
          <w:tcPr>
            <w:shd w:val="clear" w:color="auto" w:fill="auto"/>
            <w:tcBorders>
              <w:top w:val="non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每台无人机三年保险</w:t>
            </w:r>
            <w:r/>
          </w:p>
        </w:tc>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第三方责任险（ 100W）</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三者保障额度100万，每台无人机三年保险</w:t>
            </w:r>
            <w:r/>
          </w:p>
        </w:tc>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宽带费用</w:t>
            </w:r>
            <w:r/>
          </w:p>
        </w:tc>
        <w:tc>
          <w:tcPr>
            <w:shd w:val="clear" w:color="auto" w:fill="auto"/>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300M带宽，三年</w:t>
            </w:r>
            <w:r/>
          </w:p>
        </w:tc>
        <w:tc>
          <w:tcPr>
            <w:shd w:val="clear" w:color="auto" w:fill="auto"/>
            <w:tcBorders>
              <w:top w:val="non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2"/>
            <w:shd w:val="clear" w:color="auto" w:fill="auto"/>
            <w:tcBorders>
              <w:top w:val="single" w:color="000000" w:sz="4" w:space="0"/>
              <w:left w:val="single" w:color="000000" w:sz="4" w:space="0"/>
              <w:bottom w:val="single" w:color="auto" w:sz="4" w:space="0"/>
              <w:right w:val="single" w:color="000000"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none" w:color="000000" w:sz="4" w:space="0"/>
              <w:bottom w:val="single" w:color="auto"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安装调试</w:t>
            </w:r>
            <w:r/>
          </w:p>
        </w:tc>
        <w:tc>
          <w:tcPr>
            <w:shd w:val="clear" w:color="auto" w:fill="auto"/>
            <w:tcBorders>
              <w:top w:val="single" w:color="000000" w:sz="4" w:space="0"/>
              <w:left w:val="single" w:color="000000" w:sz="4" w:space="0"/>
              <w:bottom w:val="single" w:color="auto" w:sz="4" w:space="0"/>
              <w:right w:val="single" w:color="000000"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机巢部署/移机，交通费用、安装部署中使用的路由器、电源防水盒及五金件费用、网线、避雷设施、配电箱的材料费用及施工所需的人工&amp;进场人工差旅费用等。</w:t>
            </w:r>
            <w:r/>
          </w:p>
        </w:tc>
        <w:tc>
          <w:tcPr>
            <w:shd w:val="clear" w:color="auto" w:fill="auto"/>
            <w:tcBorders>
              <w:top w:val="single" w:color="000000" w:sz="4" w:space="0"/>
              <w:left w:val="single" w:color="000000" w:sz="4" w:space="0"/>
              <w:bottom w:val="single" w:color="auto"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次</w:t>
            </w:r>
            <w:r/>
          </w:p>
        </w:tc>
        <w:tc>
          <w:tcPr>
            <w:shd w:val="clear" w:color="auto" w:fill="auto"/>
            <w:tcBorders>
              <w:top w:val="single" w:color="000000" w:sz="4" w:space="0"/>
              <w:left w:val="single" w:color="000000" w:sz="4" w:space="0"/>
              <w:bottom w:val="single" w:color="auto" w:sz="4" w:space="0"/>
              <w:right w:val="single" w:color="000000"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0"/>
        </w:trPr>
        <w:tc>
          <w:tcPr>
            <w:gridSpan w:val="2"/>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设备维保</w:t>
            </w:r>
            <w:r/>
          </w:p>
        </w:tc>
        <w:tc>
          <w:tcPr>
            <w:shd w:val="clear" w:color="auto" w:fill="auto"/>
            <w:tcBorders>
              <w:top w:val="single" w:color="auto" w:sz="4" w:space="0"/>
              <w:left w:val="single" w:color="auto" w:sz="4" w:space="0"/>
              <w:bottom w:val="single" w:color="auto" w:sz="4" w:space="0"/>
              <w:right w:val="single" w:color="auto" w:sz="4" w:space="0"/>
            </w:tcBorders>
            <w:tcW w:w="416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飞机及机场设施、配套设施的维护保养，三年维保</w:t>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3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二</w:t>
      </w: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三</w:t>
      </w:r>
      <w:r>
        <w:rPr>
          <w:rFonts w:hint="eastAsia" w:ascii="宋体" w:hAnsi="宋体" w:eastAsia="宋体" w:cs="Times New Roman"/>
          <w:b/>
          <w:bCs/>
          <w:color w:val="000000"/>
          <w:sz w:val="24"/>
          <w:szCs w:val="24"/>
          <w:lang w:val="en-US" w:eastAsia="zh-CN"/>
        </w:rPr>
        <w:t xml:space="preserve">、售后服务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四</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2.中标人交货前应对产品作出全面检查和对验收文件进行整理，并列出清单，作为采购人收货验收和使用的技术条件依据，检验的结果应随货物交采购人。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备注：投标供应商项目实施后，须通过采购单位验收合格。投标供应商应为本项目配备相关专业项目实施人员（项目负责人、技术负责人），实施人员应具备相关专业技术能力。</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五、安全管理要求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为贯彻“安全第一，预防为主”方针，中标方在项目安装调试现场施工过程中，必须遵守国家和地方关于劳动安全、劳务用工等法律法规及规章制度，制定严格的安全措施，加强安全监督管理，对工程施工过程中发生的人身伤害、设备损坏事故承担安全责任，并按国家有关规定，为施工人员进行人身保险，配备合格的劳动防护用品、安全用具。</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2.若发生安全问题，由中标方（施工单位）自行负责处理并承担一切经济和法律责任，其与招标单位一切无关，同时按合同要求保证施工进度，按时完工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六、项目实施、进度要求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建设工期、进度要求：本项目最低要求建设周期为：中标单位与采购方签订合同后3个月内供货到采购人指定地点完成安装，并经采购人验收合格。投标人应制订详实可行的项目实施进度计划和项目时间表以及各阶段的实施计划和人员配置表，包括时间安排、人力资源配置等，当计划与实际进度发生偏离时，应主动采取纠偏措施，确保项目工作始终按计划执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项目实施进度要求：（1）项目整体实施方案，应包含系统开发等各阶段的具体实施方案，项目实施后，投标人应定期向采购人汇报项目进展状况，参加与项目有关的各类会议，提交项目周报、项目月报以及阶段性进展报告；项目验收方案，包括技术文档移交等内容的阐述。（2）应提供项目组人员组成及人员简介、具体工作内容等。项目组人员调整须提前1周与采购人协商，并征得采购人同意。 </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七</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pStyle w:val="890"/>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Times New Roman"/>
          <w:i w:val="0"/>
          <w:iCs w:val="0"/>
          <w:color w:val="000000"/>
          <w:sz w:val="24"/>
          <w:szCs w:val="24"/>
          <w:u w:val="none"/>
          <w:lang w:val="en-US" w:eastAsia="zh-CN"/>
        </w:rPr>
        <w:t xml:space="preserve">1、合同履行期限：</w:t>
      </w:r>
      <w:r>
        <w:rPr>
          <w:rFonts w:hint="eastAsia" w:ascii="宋体" w:hAnsi="宋体" w:eastAsia="宋体" w:cs="宋体"/>
          <w:color w:val="000000"/>
          <w:sz w:val="24"/>
          <w:szCs w:val="24"/>
          <w:lang w:val="en-US" w:eastAsia="zh-CN" w:bidi="ar-SA"/>
        </w:rPr>
        <w:t xml:space="preserve">中标单位与采购方签订合同后</w:t>
      </w:r>
      <w:r>
        <w:rPr>
          <w:rFonts w:hint="eastAsia" w:ascii="宋体" w:hAnsi="宋体" w:cs="宋体"/>
          <w:color w:val="000000"/>
          <w:sz w:val="24"/>
          <w:szCs w:val="24"/>
          <w:lang w:val="en-US" w:eastAsia="zh-CN" w:bidi="ar-SA"/>
        </w:rPr>
        <w:t xml:space="preserve">三个月</w:t>
      </w:r>
      <w:r>
        <w:rPr>
          <w:rFonts w:hint="eastAsia" w:ascii="宋体" w:hAnsi="宋体" w:eastAsia="宋体" w:cs="宋体"/>
          <w:color w:val="000000"/>
          <w:sz w:val="24"/>
          <w:szCs w:val="24"/>
          <w:lang w:val="en-US" w:eastAsia="zh-CN" w:bidi="ar-SA"/>
        </w:rPr>
        <w:t xml:space="preserve">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八</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项目验收合格后付至合同总价款的70%；验收合格满一年后付至合同总价款的90%；验收合格满三年后，无质量、服务问题一次性付清余款（无息）。</w:t>
      </w:r>
      <w:r/>
    </w:p>
    <w:p>
      <w:pPr>
        <w:numPr>
          <w:ilvl w:val="0"/>
          <w:numId w:val="0"/>
        </w:numPr>
        <w:ind w:firstLine="482"/>
        <w:keepLines w:val="0"/>
        <w:keepNext w:val="0"/>
        <w:pageBreakBefore w:val="0"/>
        <w:spacing w:line="360" w:lineRule="auto"/>
        <w:widowControl w:val="off"/>
        <w:tabs>
          <w:tab w:val="left" w:pos="406" w:leader="none"/>
        </w:tabs>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九</w:t>
      </w:r>
      <w:r>
        <w:rPr>
          <w:rFonts w:hint="eastAsia" w:ascii="宋体" w:hAnsi="宋体" w:eastAsia="宋体" w:cs="Times New Roman"/>
          <w:b/>
          <w:bCs/>
          <w:color w:val="000000"/>
          <w:sz w:val="24"/>
          <w:szCs w:val="24"/>
          <w:lang w:val="en-US" w:eastAsia="zh-CN"/>
        </w:rPr>
        <w:t xml:space="preserve">、演示部分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1、演示要求（演示时间为十五分钟）</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 1.1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1.2投标人需在“法人授权书”中注明进行现场演示的人员姓名及身份证号，不接受非注明的人员进入评审现场进行演示。投标人进入评审现场的人员应出示有效身份证件。</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2、功能演示内容如下（16分）：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提供演示的投标人能够在软件平台上融合至少5座雷达基站数据的能力，在评标现场向评审专家现场演示融合处理后的操控和显示效果。其中：1、投标人演示内容为真实运行中的系统现场演示的，每小项根据演示的功能实际情况，完全满足功能的得2分；演示内容存在部分内容缺陷的，得1分；完全不能满足或不提供演示内容的不得分；2、投标人通过提供系统演示录像或PPT等其他形式进行非实时演示的，每小项根据演示的功能实际情况，完全满足功能的得1分，演示内容存在部分内容缺陷的，得0.5分，完全不能满足或不提供演示内容的得0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2.1演示内容包括：</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1、多源信息融合演示（满分4分）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（1）支持展示雷达、AIS目标、北斗目标融合效果,支持显示目标信息来源及目标AIS或目标北斗相关信息、目标轨迹。（2分）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（2）支持展示融合目标与船舶档案信息融合的效果，支持显示船舶画像、航行记录、行为分析。（2分）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2、海上实时综合态势演示（满分4分）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（1）具备海图、地图、卫星图及融合图层显示功能、支持目标，轨迹，雷达回波同时显示。（2分）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（2）系统应能够实时显示总目标数及当前视野下目标数，同时显示视野内全部目标轨迹，鼠标拖动流畅、不卡顿。（2分）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3、数据查询与回放演示（满分4分）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（1）同步回放功能（2分）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能够同步回放目标数据、回波数据，能够显示数据产生时间；回放过程中可进行目标筛选、轨迹显隐操作。</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（2）演示多倍快速回放：（2分）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演示通过速度调节控制回放速度，速度1-200倍可调，支持正序播放和倒序播放。</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4、光电联动演示（满分4分）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（1）预警抓拍功能（2分）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演示行驶目标预警后自动联动光电设备进行联动跟踪、自动跟踪目标、自动放大、拍照并录像并形成记录；目标应处于视频画面中央；</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（2）抓拍记录功能（2分）</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能够查看预警目标抓拍的记录，记录至少包含目标轨迹、抓拍图片及录像。</w:t>
      </w:r>
      <w:r/>
    </w:p>
    <w:p>
      <w:pPr>
        <w:numPr>
          <w:ilvl w:val="0"/>
          <w:numId w:val="0"/>
        </w:numPr>
        <w:ind w:firstLine="482"/>
        <w:keepLines w:val="0"/>
        <w:keepNext w:val="0"/>
        <w:pageBreakBefore w:val="0"/>
        <w:spacing w:line="360" w:lineRule="auto"/>
        <w:widowControl w:val="off"/>
        <w:tabs>
          <w:tab w:val="left" w:pos="406" w:leader="none"/>
        </w:tabs>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十</w:t>
      </w:r>
      <w:r>
        <w:rPr>
          <w:rFonts w:hint="eastAsia" w:ascii="宋体" w:hAnsi="宋体" w:eastAsia="宋体" w:cs="Times New Roman"/>
          <w:b/>
          <w:bCs/>
          <w:color w:val="000000"/>
          <w:sz w:val="24"/>
          <w:szCs w:val="24"/>
          <w:lang w:val="en-US" w:eastAsia="zh-CN"/>
        </w:rPr>
        <w:t xml:space="preserve">、采购标的对应的中小企业划分标准所属行业一览表</w:t>
      </w:r>
      <w:r/>
    </w:p>
    <w:tbl>
      <w:tblPr>
        <w:tblStyle w:val="885"/>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cs="宋体"/>
                <w:color w:val="000000"/>
                <w:sz w:val="24"/>
                <w:szCs w:val="24"/>
                <w:lang w:val="en-US" w:eastAsia="zh-CN"/>
              </w:rPr>
              <w:t xml:space="preserve">工</w:t>
            </w:r>
            <w:r>
              <w:rPr>
                <w:rFonts w:hint="eastAsia" w:ascii="宋体" w:hAnsi="宋体" w:eastAsia="宋体" w:cs="宋体"/>
                <w:color w:val="000000"/>
                <w:sz w:val="24"/>
                <w:szCs w:val="24"/>
                <w:lang w:val="en-US" w:eastAsia="zh-CN"/>
              </w:rPr>
              <w:t xml:space="preserve">业</w:t>
            </w: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0"/>
              <w:jc w:val="both"/>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0"/>
              <w:jc w:val="center"/>
              <w:spacing w:beforeAutospacing="0" w:afterAutospacing="0" w:line="0" w:lineRule="atLeast"/>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0"/>
              <w:jc w:val="center"/>
              <w:spacing w:beforeAutospacing="0" w:afterAutospacing="0" w:line="0" w:lineRule="atLeast"/>
              <w:rPr>
                <w:rFonts w:hint="default" w:ascii="宋体" w:hAnsi="宋体" w:eastAsia="宋体" w:cs="宋体"/>
                <w:i w:val="0"/>
                <w:color w:val="000000"/>
                <w:sz w:val="20"/>
                <w:szCs w:val="20"/>
                <w:u w:val="none"/>
                <w:lang w:val="en-US" w:eastAsia="zh-CN" w:bidi="ar"/>
              </w:rPr>
            </w:pPr>
            <w:r>
              <w:rPr>
                <w:rFonts w:hint="default" w:ascii="宋体" w:hAnsi="宋体" w:eastAsia="宋体" w:cs="宋体"/>
                <w:i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0"/>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r>
    </w:tbl>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Times New Roman"/>
          <w:color w:val="0000ff"/>
          <w:sz w:val="24"/>
          <w:szCs w:val="24"/>
          <w:lang w:val="en-US" w:eastAsia="zh-CN"/>
        </w:rPr>
        <w:t xml:space="preserve">注：采购标的所属“</w:t>
      </w:r>
      <w:r>
        <w:rPr>
          <w:rFonts w:hint="eastAsia" w:ascii="宋体" w:hAnsi="宋体" w:cs="Times New Roman"/>
          <w:color w:val="0000ff"/>
          <w:sz w:val="24"/>
          <w:szCs w:val="24"/>
          <w:lang w:val="en-US" w:eastAsia="zh-CN"/>
        </w:rPr>
        <w:t xml:space="preserve">工</w:t>
      </w:r>
      <w:r>
        <w:rPr>
          <w:rFonts w:hint="eastAsia" w:ascii="宋体" w:hAnsi="宋体" w:eastAsia="宋体" w:cs="Times New Roman"/>
          <w:color w:val="0000ff"/>
          <w:sz w:val="24"/>
          <w:szCs w:val="24"/>
          <w:lang w:val="en-US" w:eastAsia="zh-CN"/>
        </w:rPr>
        <w:t xml:space="preserve">业”行业，根据《工业和信息化部、国家统计局、国家发展和改革委员会、财政部关于印发中小企业划型标准规定的通知》（工信部联企业[2011]300号）规定的划分标准填写。</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十</w:t>
      </w:r>
      <w:r>
        <w:rPr>
          <w:rFonts w:hint="eastAsia" w:ascii="宋体" w:hAnsi="宋体" w:cs="Times New Roman"/>
          <w:b/>
          <w:bCs/>
          <w:color w:val="000000"/>
          <w:sz w:val="24"/>
          <w:szCs w:val="24"/>
          <w:lang w:val="en-US" w:eastAsia="zh-CN"/>
        </w:rPr>
        <w:t xml:space="preserve">一</w:t>
      </w:r>
      <w:r>
        <w:rPr>
          <w:rFonts w:hint="eastAsia" w:ascii="宋体" w:hAnsi="宋体" w:eastAsia="宋体" w:cs="Times New Roman"/>
          <w:b/>
          <w:bCs/>
          <w:color w:val="000000"/>
          <w:sz w:val="24"/>
          <w:szCs w:val="24"/>
          <w:lang w:val="en-US" w:eastAsia="zh-CN"/>
        </w:rPr>
        <w:t xml:space="preserve">、特别说明：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1、报价含项目成果交付前一切费用。不接受选择性报价。</w:t>
      </w:r>
      <w:r/>
    </w:p>
    <w:p>
      <w:pPr>
        <w:ind w:firstLine="480"/>
        <w:jc w:val="left"/>
        <w:spacing w:line="360" w:lineRule="auto"/>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t xml:space="preserve">2、本项目：</w:t>
      </w:r>
      <w:r>
        <w:rPr>
          <w:rFonts w:hint="eastAsia" w:ascii="宋体" w:hAnsi="宋体" w:eastAsia="宋体" w:cs="Times New Roman"/>
          <w:color w:val="ff0000"/>
          <w:sz w:val="24"/>
          <w:szCs w:val="24"/>
          <w:u w:val="single"/>
          <w:lang w:val="en-US" w:eastAsia="zh-CN" w:bidi="ar-SA"/>
        </w:rPr>
        <w:t xml:space="preserve">远程雷达</w:t>
      </w:r>
      <w:r>
        <w:rPr>
          <w:rFonts w:hint="eastAsia" w:ascii="宋体" w:hAnsi="宋体" w:cs="Times New Roman"/>
          <w:color w:val="ff0000"/>
          <w:sz w:val="24"/>
          <w:szCs w:val="24"/>
          <w:u w:val="single"/>
          <w:lang w:val="en-US" w:eastAsia="zh-CN" w:bidi="ar-SA"/>
        </w:rPr>
        <w:t xml:space="preserve">、中程雷达</w:t>
      </w:r>
      <w:r>
        <w:rPr>
          <w:rFonts w:hint="eastAsia" w:ascii="宋体" w:hAnsi="宋体" w:eastAsia="宋体" w:cs="Times New Roman"/>
          <w:color w:val="ff0000"/>
          <w:sz w:val="24"/>
          <w:szCs w:val="24"/>
          <w:lang w:val="en-US" w:eastAsia="zh-CN" w:bidi="ar-SA"/>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4、资格后审：项目开标结束后，采购人或采购代理机构应当依法对投标人的资格进行审查。资格审查材料的</w:t>
      </w:r>
      <w:r>
        <w:rPr>
          <w:rFonts w:hint="eastAsia" w:ascii="宋体" w:hAnsi="宋体" w:cs="Times New Roman"/>
          <w:color w:val="000000"/>
          <w:sz w:val="24"/>
          <w:szCs w:val="24"/>
          <w:lang w:val="en-US" w:eastAsia="zh-CN"/>
        </w:rPr>
        <w:t xml:space="preserve">原件彩色扫描件</w:t>
      </w:r>
      <w:r>
        <w:rPr>
          <w:rFonts w:hint="eastAsia" w:ascii="宋体" w:hAnsi="宋体" w:eastAsia="宋体" w:cs="Times New Roman"/>
          <w:color w:val="000000"/>
          <w:sz w:val="24"/>
          <w:szCs w:val="24"/>
          <w:lang w:val="en-US" w:eastAsia="zh-CN"/>
        </w:rPr>
        <w:t xml:space="preserve">须在投标文件中提供。</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5、对本项目投标人资格要求、项目需求、评分标准等的质疑由采购单位负责答复；采购单位具有项目的解释权，质疑函和答复须同时报采购中心备案管理。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6、中标人(成交供应商)与采购人签订合同前，须向第三方咨询公司支付咨询服务服务费，咨询服务费按《江苏省政府采购代理服务收费指导意见》的通知（苏政采协【2024】20号）收费标准进行计取，并由中标单位支付给本项目前期咨询服务机构。</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本条不单独列表报价，各投标人自行综合考虑，中标供应商在中标公告公示后七个工作日内一次性缴纳。</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1320"/>
        <w:rPr>
          <w:rFonts w:hint="eastAsia" w:ascii="黑体" w:hAnsi="宋体" w:eastAsia="黑体" w:cs="黑体"/>
          <w:color w:val="000000"/>
          <w:sz w:val="44"/>
          <w:szCs w:val="44"/>
          <w:highlight w:val="none"/>
        </w:rPr>
      </w:pPr>
      <w:r/>
      <w:bookmarkStart w:id="172" w:name="_Toc120614281"/>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highlight w:val="none"/>
        </w:rPr>
      </w:pPr>
      <w:r>
        <w:rPr>
          <w:rFonts w:hint="eastAsia" w:ascii="黑体" w:hAnsi="宋体" w:eastAsia="黑体" w:cs="黑体"/>
          <w:color w:val="000000"/>
          <w:sz w:val="44"/>
          <w:szCs w:val="44"/>
          <w:highlight w:val="none"/>
          <w:lang w:val="en-US" w:eastAsia="zh-CN"/>
        </w:rPr>
        <w:t xml:space="preserve">第</w:t>
      </w:r>
      <w:r>
        <w:rPr>
          <w:rFonts w:hint="eastAsia" w:ascii="黑体" w:hAnsi="宋体" w:eastAsia="黑体" w:cs="黑体"/>
          <w:color w:val="000000"/>
          <w:sz w:val="44"/>
          <w:szCs w:val="44"/>
          <w:highlight w:val="none"/>
        </w:rPr>
        <w:t xml:space="preserve">五章  </w:t>
      </w:r>
      <w:r>
        <w:rPr>
          <w:rFonts w:hint="eastAsia" w:ascii="黑体" w:hAnsi="宋体" w:eastAsia="黑体" w:cs="黑体"/>
          <w:b/>
          <w:color w:val="000000"/>
          <w:sz w:val="44"/>
          <w:szCs w:val="44"/>
          <w:highlight w:val="none"/>
        </w:rPr>
        <w:t xml:space="preserve">评标方法与评标标准</w:t>
      </w:r>
      <w:r/>
    </w:p>
    <w:p>
      <w:pPr>
        <w:pStyle w:val="89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p>
    <w:p>
      <w:pPr>
        <w:pStyle w:val="895"/>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政府采购政策功能落实</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1、小微型企业价格扣除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（1）本项目为非专门面向中小企业采购，对符合规定的小型和微型企业报价给予20%的扣除价格，用扣除后的价格参与评审。</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（2）供应商需按照采购文件的要求提供相应的《</w:t>
      </w:r>
      <w:r>
        <w:rPr>
          <w:rFonts w:hint="eastAsia" w:ascii="宋体" w:hAnsi="宋体" w:cs="宋体"/>
          <w:color w:val="000000"/>
          <w:sz w:val="24"/>
          <w:szCs w:val="24"/>
          <w:highlight w:val="none"/>
          <w:lang w:val="en-US" w:eastAsia="zh-CN" w:bidi="ar-SA"/>
        </w:rPr>
        <w:t xml:space="preserve">小微</w:t>
      </w:r>
      <w:r>
        <w:rPr>
          <w:rFonts w:hint="eastAsia" w:ascii="宋体" w:hAnsi="宋体" w:eastAsia="宋体" w:cs="宋体"/>
          <w:color w:val="000000"/>
          <w:sz w:val="24"/>
          <w:szCs w:val="24"/>
          <w:highlight w:val="none"/>
          <w:lang w:val="en-US" w:eastAsia="zh-CN" w:bidi="ar-SA"/>
        </w:rPr>
        <w:t xml:space="preserve">企业声明函》。</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2、残疾人福利单位价格扣除</w:t>
      </w:r>
      <w:r/>
    </w:p>
    <w:p>
      <w:pPr>
        <w:pStyle w:val="895"/>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（1）本项目对残疾人福利性单位视同小型、微型企业，给予20%的价格扣除。</w:t>
      </w:r>
      <w:r/>
    </w:p>
    <w:p>
      <w:pPr>
        <w:pStyle w:val="895"/>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（2）残疾人福利单位需按照采购文件的要求提供《残疾人福利性单位声明函》。</w:t>
      </w:r>
      <w:r/>
    </w:p>
    <w:p>
      <w:pPr>
        <w:pStyle w:val="895"/>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（3）残疾人福利单位标准请参照《关于促进残疾人就业政府采购政策的通知》（财库〔2017〕141号）。</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3、监狱和戒毒企业价格扣除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（1）本项目对监狱和戒毒企业（简称监狱企业）视同小型、微型企业，给予20%的价格扣除。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（3）监狱企业标准请参照《关于政府采购支持监狱企业发展有关问题的通知》（财库〔2014〕68号）。</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4、残疾人福利单位、监狱企业属于小型、微型企业的，不重复享受政策。</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5"/>
        <w:ind w:firstLine="482"/>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评标方法与评标标准</w:t>
      </w:r>
      <w:r/>
    </w:p>
    <w:p>
      <w:pPr>
        <w:pStyle w:val="895"/>
        <w:ind w:firstLine="482"/>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Style w:val="885"/>
        <w:tblW w:w="554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7"/>
        <w:gridCol w:w="8369"/>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570" w:type="pct"/>
            <w:vAlign w:val="center"/>
            <w:vMerge w:val="restart"/>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投标报价（30分）</w:t>
            </w:r>
            <w:r/>
          </w:p>
        </w:tc>
        <w:tc>
          <w:tcPr>
            <w:shd w:val="clear" w:color="auto" w:fill="auto"/>
            <w:tcBorders>
              <w:top w:val="single" w:color="auto" w:sz="4" w:space="0"/>
              <w:left w:val="single" w:color="auto" w:sz="4" w:space="0"/>
              <w:bottom w:val="single" w:color="auto" w:sz="4" w:space="0"/>
              <w:right w:val="single" w:color="auto" w:sz="4" w:space="0"/>
            </w:tcBorders>
            <w:tcW w:w="4429" w:type="pct"/>
            <w:vAlign w:val="center"/>
            <w:vMerge w:val="restart"/>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1.采用低价优先法，即满足招标文件要求且投标价格最低的投标总报价为评标基准价，其价格分为满分。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2.其他供应商的价格分统一按下列公式计算：投标报价得分＝（评标基准价/投标总报价）×30（按四舍五入取至小数点后两位）</w:t>
            </w:r>
            <w:r/>
          </w:p>
        </w:tc>
      </w:tr>
      <w:tr>
        <w:trPr>
          <w:trHeight w:val="1035"/>
        </w:trPr>
        <w:tc>
          <w:tcPr>
            <w:shd w:val="clear" w:color="auto" w:fill="auto"/>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技术参数（30分）</w:t>
            </w:r>
            <w:r/>
          </w:p>
        </w:tc>
        <w:tc>
          <w:tcPr>
            <w:shd w:val="clear" w:color="auto" w:fill="auto"/>
            <w:tcBorders>
              <w:top w:val="single" w:color="auto" w:sz="4" w:space="0"/>
              <w:left w:val="single" w:color="auto" w:sz="4" w:space="0"/>
              <w:bottom w:val="single" w:color="auto" w:sz="4" w:space="0"/>
              <w:right w:val="single" w:color="auto" w:sz="4" w:space="0"/>
            </w:tcBorders>
            <w:tcW w:w="442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投标文件响应招标文件中采购货物技术参数程度评定。全部满足或正偏离招标文件中采购货物“主要设备技术参数要求”的得满分30分。其中负偏离的扣分：带▲项的参数每负偏离一项扣1分，共计20分；未带“▲”的技术参数累计负偏离1-30项的扣3分，累计负偏离31-60项的扣6分，累计负偏离61项及以上的扣10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注：参数</w:t>
            </w:r>
            <w:r>
              <w:rPr>
                <w:rFonts w:hint="eastAsia" w:ascii="宋体" w:hAnsi="宋体" w:cs="宋体"/>
                <w:i w:val="0"/>
                <w:iCs w:val="0"/>
                <w:color w:val="auto"/>
                <w:sz w:val="24"/>
                <w:szCs w:val="24"/>
                <w:highlight w:val="none"/>
                <w:u w:val="none"/>
                <w:lang w:val="en-US" w:eastAsia="zh-CN" w:bidi="ar"/>
              </w:rPr>
              <w:t xml:space="preserve">项</w:t>
            </w:r>
            <w:r>
              <w:rPr>
                <w:rFonts w:hint="eastAsia" w:ascii="宋体" w:hAnsi="宋体" w:eastAsia="宋体" w:cs="宋体"/>
                <w:i w:val="0"/>
                <w:iCs w:val="0"/>
                <w:color w:val="auto"/>
                <w:sz w:val="24"/>
                <w:szCs w:val="24"/>
                <w:highlight w:val="none"/>
                <w:u w:val="none"/>
                <w:lang w:val="en-US" w:eastAsia="zh-CN" w:bidi="ar"/>
              </w:rPr>
              <w:t xml:space="preserve">如要求提供检测报告或证明材料的，评标委员会必须根据投标人提供的检测报告或证明材料进行核对扣分（提供的检测报告或证明材料需满足招标文件的参数要求），未提供相关检测报告或证明材料或提供的检测报告或证明材料不符合招标文件要求的视为负偏离。</w:t>
            </w:r>
            <w:r/>
          </w:p>
        </w:tc>
      </w:tr>
      <w:tr>
        <w:trPr>
          <w:trHeight w:val="2565"/>
        </w:trPr>
        <w:tc>
          <w:tcPr>
            <w:shd w:val="clear" w:color="auto" w:fill="auto"/>
            <w:tcBorders>
              <w:top w:val="single" w:color="auto" w:sz="4" w:space="0"/>
              <w:left w:val="single" w:color="000000" w:sz="8" w:space="0"/>
              <w:bottom w:val="single" w:color="000000" w:sz="8" w:space="0"/>
              <w:right w:val="single" w:color="000000" w:sz="8" w:space="0"/>
            </w:tcBorders>
            <w:tcW w:w="57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投标人实力（16分）</w:t>
            </w:r>
            <w:r/>
          </w:p>
        </w:tc>
        <w:tc>
          <w:tcPr>
            <w:shd w:val="clear" w:color="auto" w:fill="auto"/>
            <w:tcBorders>
              <w:top w:val="single" w:color="auto" w:sz="4" w:space="0"/>
              <w:left w:val="none" w:color="000000" w:sz="4" w:space="0"/>
              <w:bottom w:val="single" w:color="000000" w:sz="8" w:space="0"/>
              <w:right w:val="single" w:color="000000" w:sz="8" w:space="0"/>
            </w:tcBorders>
            <w:tcW w:w="4429" w:type="pct"/>
            <w:vAlign w:val="center"/>
            <w:textDirection w:val="lrTb"/>
            <w:noWrap w:val="false"/>
          </w:tcPr>
          <w:p>
            <w:pPr>
              <w:numPr>
                <w:ilvl w:val="0"/>
                <w:numId w:val="2"/>
              </w:numPr>
              <w:jc w:val="left"/>
              <w:keepLines w:val="0"/>
              <w:keepNext w:val="0"/>
              <w:spacing w:line="36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投标人具有GB/T36733服务质量服务认证证书，得2分，不提供不得分；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2、投标人具有GB/T 27922售后服务认证证书，得2分，不提供不得分；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投标人具有一定的软件开发能力，投标人具有应急指挥调度类、危化品管控类、应急物资资源管理类、应急地理信息管理类软件著作权证书的，每提供一项（证书不要求名称完全一致，但需包含关键功能点描述）得1分，不提供不得分，本项最高得4分。所提供的软件著作权证书须在中国版权保护中心官网网站可查询，同步提供查询截图，不提供不得分；同类软著证书提供多份只取其中一份计分，同一份软著证书涉及多项功能只取其中一项功能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0000ff"/>
                <w:sz w:val="24"/>
                <w:szCs w:val="24"/>
                <w:highlight w:val="none"/>
                <w:u w:val="none"/>
                <w:lang w:val="en-US" w:eastAsia="zh-CN" w:bidi="ar"/>
              </w:rPr>
              <w:t xml:space="preserve">备注：投标人须提供上述三项相关证书原件彩色扫描件并加盖投标人公章，否则不得分。</w:t>
            </w:r>
            <w:r/>
          </w:p>
          <w:p>
            <w:pPr>
              <w:numPr>
                <w:ilvl w:val="0"/>
                <w:numId w:val="0"/>
              </w:num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4、投标人拟投入本项目的项目负责人（仅限一人）具有信息系统项目管理师证书、电子信息类高级工程师、软件设计师、CISAW信息安全保障人员证书，每提供一项证书得1分，最多得4分。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5、投标人拟投入本项目的技术负责人（仅限一人）具有注册信息安全工程师证书、信息系统项目管理师、网络工程师、电子信息类高级工程师证书，每提供一项证书得1分，最多得4分。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备注：项目负责人及技术负责人须为投标单位正式在职员工</w:t>
            </w:r>
            <w:r>
              <w:rPr>
                <w:rFonts w:hint="eastAsia" w:ascii="宋体" w:hAnsi="宋体" w:cs="宋体"/>
                <w:i w:val="0"/>
                <w:iCs w:val="0"/>
                <w:color w:val="auto"/>
                <w:sz w:val="24"/>
                <w:szCs w:val="24"/>
                <w:highlight w:val="none"/>
                <w:u w:val="none"/>
                <w:lang w:val="en-US" w:eastAsia="zh-CN" w:bidi="ar"/>
              </w:rPr>
              <w:t xml:space="preserve">（提供相关证明材料）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并</w:t>
            </w:r>
            <w:r>
              <w:rPr>
                <w:rFonts w:hint="eastAsia" w:ascii="宋体" w:hAnsi="宋体" w:eastAsia="宋体" w:cs="宋体"/>
                <w:i w:val="0"/>
                <w:iCs w:val="0"/>
                <w:color w:val="auto"/>
                <w:sz w:val="24"/>
                <w:szCs w:val="24"/>
                <w:highlight w:val="none"/>
                <w:u w:val="none"/>
                <w:lang w:val="en-US" w:eastAsia="zh-CN" w:bidi="ar"/>
              </w:rPr>
              <w:t xml:space="preserve">提供上述人员相关证书原件彩色扫描件加盖投标人公章，否则不得分。</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restart"/>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现场功能演示（16分）</w:t>
            </w:r>
            <w:r/>
          </w:p>
        </w:tc>
        <w:tc>
          <w:tcPr>
            <w:shd w:val="clear" w:color="auto" w:fill="auto"/>
            <w:tcBorders>
              <w:top w:val="none" w:color="000000" w:sz="4" w:space="0"/>
              <w:left w:val="none" w:color="000000" w:sz="4" w:space="0"/>
              <w:bottom w:val="single" w:color="000000" w:sz="8" w:space="0"/>
              <w:right w:val="single" w:color="000000" w:sz="8" w:space="0"/>
            </w:tcBorders>
            <w:tcW w:w="4429" w:type="pct"/>
            <w:vAlign w:val="center"/>
            <w:vMerge w:val="restart"/>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演示的投标人能够在软件平台上融合至少5座雷达基站数据的能力，在评标现场向评审专家现场演示融合处理后的操控和显示效果。其中：1、投标人演示内容为真实运行中的系统现场演示的，每小项根据演示的功能实际情况，完全满足功能的得2分；演示内容存在部分内容缺陷的得1分；完全不能满足或不提供演示内容的不得分；2、投标人通过提供系统演示录像或PPT等其他形式进行非实时演示的，每小项根据演示的功能实际情况，完全满足功能的得1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演示内容存在部分内容缺陷的，得0.5分，完全不能满足或不提供演示内容的</w:t>
            </w:r>
            <w:r>
              <w:rPr>
                <w:rFonts w:hint="eastAsia" w:ascii="宋体" w:hAnsi="宋体" w:cs="宋体"/>
                <w:i w:val="0"/>
                <w:iCs w:val="0"/>
                <w:color w:val="auto"/>
                <w:sz w:val="24"/>
                <w:szCs w:val="24"/>
                <w:highlight w:val="none"/>
                <w:u w:val="none"/>
                <w:lang w:val="en-US" w:eastAsia="zh-CN" w:bidi="ar"/>
              </w:rPr>
              <w:t xml:space="preserve">不得</w:t>
            </w:r>
            <w:r>
              <w:rPr>
                <w:rFonts w:hint="eastAsia" w:ascii="宋体" w:hAnsi="宋体" w:eastAsia="宋体" w:cs="宋体"/>
                <w:i w:val="0"/>
                <w:iCs w:val="0"/>
                <w:color w:val="auto"/>
                <w:sz w:val="24"/>
                <w:szCs w:val="24"/>
                <w:highlight w:val="none"/>
                <w:u w:val="none"/>
                <w:lang w:val="en-US" w:eastAsia="zh-CN" w:bidi="ar"/>
              </w:rPr>
              <w:t xml:space="preserve">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演示内容包括：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1、多源信息融合演示（满分4分）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（1）支持展示雷达、AIS目标、北斗目标融合效果,支持显示目标信息来源及目标AIS或目标北斗相关信息、目标轨迹。（2分）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（2）支持展示融合目标与船舶档案信息融合的效果，支持显示船舶画像、航行记录、行为分析。（2分）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2、海上实时综合态势演示（满分4分）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（1）具备海图、地图、卫星图及融合图层显示功能、支持目标，轨迹，雷达回波同时显示。（2分）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（2）系统应能够实时显示总目标数及当前视野下目标数，同时显示视野内全部目标轨迹，鼠标拖动流畅、不卡顿。（2分）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3、数据查询与回放演示（满分4分）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（1）同步回放功能（2分）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能够同步回放目标数据、回波数据，能够显示数据产生时间；回放过程中可进行目标筛选、轨迹显隐操作。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（2）演示多倍快速回放：（2分）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演示通过速度调节控制回放速度，速度1-200倍可调，支持正序播放和倒序播放。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4、光电联动演示（满分4分）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（1）预警抓拍功能（2分）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演示行驶目标预警后自动联动光电设备进行联动跟踪、自动跟踪目标、自动放大、拍照并录像并形成记录；目标应处于视频画面中央；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（2）抓拍记录功能（2分）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能够查看预警目标抓拍的记录，记录至少包含目标轨迹、抓拍图片及录像。</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4429" w:type="pct"/>
            <w:vAlign w:val="center"/>
            <w:vMerge w:val="continue"/>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4429" w:type="pct"/>
            <w:vAlign w:val="center"/>
            <w:vMerge w:val="continue"/>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70" w:type="pct"/>
            <w:vAlign w:val="center"/>
            <w:vMerge w:val="continue"/>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4429" w:type="pct"/>
            <w:vAlign w:val="center"/>
            <w:vMerge w:val="continue"/>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095"/>
        </w:trPr>
        <w:tc>
          <w:tcPr>
            <w:shd w:val="clear" w:color="auto" w:fill="auto"/>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技术方案（6分）</w:t>
            </w:r>
            <w:r/>
          </w:p>
        </w:tc>
        <w:tc>
          <w:tcPr>
            <w:shd w:val="clear" w:color="auto" w:fill="auto"/>
            <w:tcBorders>
              <w:top w:val="single" w:color="auto" w:sz="4" w:space="0"/>
              <w:left w:val="single" w:color="auto" w:sz="4" w:space="0"/>
              <w:bottom w:val="single" w:color="auto" w:sz="4" w:space="0"/>
              <w:right w:val="single" w:color="auto" w:sz="4" w:space="0"/>
            </w:tcBorders>
            <w:tcW w:w="442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在响应招标文件需求的基础上针对下列各部分进行评价，要求体现科学合理性、条理性、可行性、完善性，以下各部分如未见阐述则不得分：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（1）项目需求理解与设计（2分），包含：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①为保障项目的顺利落地，投标人可根据现场调研的实际情况对本项目需求理解进行详细阐述（1分）；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②投标人可根据对项目的理解进行方案设计（1分）；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供应商针对上述内容进行阐述，要求阐述内容完整合理、可行性强。每项内容与本项目密切相关且符合项目需求的不扣分；每项内容逻辑略有欠缺的扣0.5分；每项内容严重欠缺，套用其他方案，有逻辑漏洞和错误的扣1分；未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（2）软件应用系统设计方案（2分），包含：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①架构及功能设计（1分）；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②技术选型及风险优化规则（1分）；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供应商针对上述内容进行阐述，要求阐述内容完整合理、可行性强。每项内容与本项目密切相关且符合项目需求的不扣分；每项内容逻辑略有欠缺的扣0.5分；每项内容严重欠缺，套用其他方案，有逻辑漏洞和错误的扣1分；未提供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（3）项目实施方案（2分），包含：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①项目管理制度、进度计划（1分）；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②项目实施方案及风险管理（1分）；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供应商针对上述内容进行阐述，要求阐述内容完整合理、可行性强。每项内容与本项目密切相关且符合项目需求的不扣分；每项内容逻辑略有欠缺的扣0.5分；每项内容严重欠缺，套用其他方案，有逻辑漏洞和错误的扣1分；未提供的不得分。</w:t>
            </w:r>
            <w:r/>
          </w:p>
        </w:tc>
      </w:tr>
      <w:tr>
        <w:trPr>
          <w:trHeight w:val="1290"/>
        </w:trPr>
        <w:tc>
          <w:tcPr>
            <w:shd w:val="clear" w:color="auto" w:fill="auto"/>
            <w:tcBorders>
              <w:top w:val="single" w:color="auto" w:sz="4" w:space="0"/>
              <w:left w:val="single" w:color="000000" w:sz="8" w:space="0"/>
              <w:bottom w:val="single" w:color="000000" w:sz="8" w:space="0"/>
              <w:right w:val="single" w:color="000000" w:sz="8" w:space="0"/>
            </w:tcBorders>
            <w:tcW w:w="57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节能环保（2分）</w:t>
            </w:r>
            <w:r/>
          </w:p>
        </w:tc>
        <w:tc>
          <w:tcPr>
            <w:shd w:val="clear" w:color="auto" w:fill="auto"/>
            <w:tcBorders>
              <w:top w:val="single" w:color="auto" w:sz="4" w:space="0"/>
              <w:left w:val="none" w:color="000000" w:sz="4" w:space="0"/>
              <w:bottom w:val="single" w:color="000000" w:sz="8" w:space="0"/>
              <w:right w:val="single" w:color="000000" w:sz="8" w:space="0"/>
            </w:tcBorders>
            <w:tcW w:w="442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ind w:firstLine="482"/>
        <w:spacing w:line="52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备注：</w:t>
      </w:r>
      <w:r/>
    </w:p>
    <w:p>
      <w:pPr>
        <w:ind w:firstLine="482"/>
        <w:spacing w:line="52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rPr>
        <w:t xml:space="preserve">评分标准中要求提供的证明材料均以原件扫描加盖</w:t>
      </w:r>
      <w:r>
        <w:rPr>
          <w:rFonts w:hint="eastAsia" w:ascii="宋体" w:hAnsi="宋体"/>
          <w:b w:val="0"/>
          <w:bCs/>
          <w:color w:val="auto"/>
          <w:sz w:val="24"/>
          <w:szCs w:val="24"/>
          <w:highlight w:val="none"/>
          <w:lang w:val="en-US" w:eastAsia="zh-CN"/>
        </w:rPr>
        <w:t xml:space="preserve">投标人的</w:t>
      </w:r>
      <w:r>
        <w:rPr>
          <w:rFonts w:hint="eastAsia" w:ascii="宋体" w:hAnsi="宋体"/>
          <w:b w:val="0"/>
          <w:bCs/>
          <w:color w:val="auto"/>
          <w:sz w:val="24"/>
          <w:szCs w:val="24"/>
          <w:highlight w:val="none"/>
        </w:rPr>
        <w:t xml:space="preserve">公章</w:t>
      </w:r>
      <w:r>
        <w:rPr>
          <w:rFonts w:hint="eastAsia" w:ascii="宋体" w:hAnsi="宋体"/>
          <w:b w:val="0"/>
          <w:bCs/>
          <w:color w:val="auto"/>
          <w:sz w:val="24"/>
          <w:szCs w:val="24"/>
          <w:highlight w:val="none"/>
          <w:lang w:val="en-US" w:eastAsia="zh-CN"/>
        </w:rPr>
        <w:t xml:space="preserve">或电子签章</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lang w:val="en-US" w:eastAsia="zh-CN"/>
        </w:rPr>
        <w:t xml:space="preserve">若是联合体投标，加盖牵头方公章</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rPr>
        <w:t xml:space="preserve">在投标文件中反映，相关证明材料须按要求完整提供且不得涂改，本项目所须提供的证明材料均应原件扫描（如原件是彩色件，则扫描件须是彩色）。否则不能得分。</w:t>
      </w:r>
      <w:r/>
    </w:p>
    <w:p>
      <w:pPr>
        <w:ind w:firstLine="482"/>
        <w:spacing w:line="52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2、</w:t>
      </w:r>
      <w:r>
        <w:rPr>
          <w:rFonts w:hint="eastAsia" w:ascii="宋体" w:hAnsi="宋体"/>
          <w:b w:val="0"/>
          <w:bCs/>
          <w:color w:val="auto"/>
          <w:sz w:val="24"/>
          <w:szCs w:val="24"/>
          <w:highlight w:val="none"/>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2"/>
        <w:spacing w:line="52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中标人须在合同签订前向采购人提供其投标文件中书面承诺的支撑资料，否则采购人有权取消其中标资格。</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黑体" w:hAnsi="宋体" w:eastAsia="黑体" w:cs="黑体"/>
          <w:color w:val="auto"/>
          <w:sz w:val="44"/>
          <w:szCs w:val="44"/>
          <w:highlight w:val="none"/>
        </w:rPr>
        <w:br w:type="page" w:clear="all"/>
      </w:r>
      <w:r/>
    </w:p>
    <w:p>
      <w:pPr>
        <w:pStyle w:val="895"/>
        <w:ind w:firstLine="482"/>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95"/>
        <w:ind w:firstLine="482"/>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5"/>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p>
    <w:p>
      <w:pPr>
        <w:pStyle w:val="895"/>
        <w:jc w:val="center"/>
        <w:spacing w:beforeAutospacing="0" w:afterAutospacing="0"/>
        <w:rPr>
          <w:highlight w:val="none"/>
        </w:rPr>
      </w:pPr>
      <w:r/>
      <w:bookmarkStart w:id="173" w:name="_Toc120614282"/>
      <w:r/>
      <w:bookmarkEnd w:id="173"/>
      <w:r/>
      <w:bookmarkStart w:id="174" w:name="_Toc49090576"/>
      <w:r/>
      <w:bookmarkEnd w:id="174"/>
      <w:r/>
      <w:bookmarkStart w:id="175" w:name="_Hlt26671244"/>
      <w:r/>
      <w:bookmarkStart w:id="176" w:name="_Hlt26955039"/>
      <w:r/>
      <w:bookmarkStart w:id="177" w:name="_Toc26554094"/>
      <w:r>
        <w:rPr>
          <w:rFonts w:hint="eastAsia" w:ascii="宋体" w:hAnsi="宋体" w:eastAsia="宋体" w:cs="宋体"/>
          <w:b/>
          <w:color w:val="000000"/>
          <w:sz w:val="72"/>
          <w:szCs w:val="72"/>
          <w:highlight w:val="none"/>
        </w:rPr>
        <w:t xml:space="preserve">投  标  文  件</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95"/>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p>
    <w:p>
      <w:pPr>
        <w:pStyle w:val="89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both"/>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95"/>
        <w:jc w:val="center"/>
        <w:spacing w:beforeAutospacing="0" w:afterAutospacing="0" w:line="0" w:lineRule="atLeast"/>
        <w:rPr>
          <w:highlight w:val="none"/>
        </w:rPr>
      </w:pPr>
      <w:r>
        <w:rPr>
          <w:highlight w:val="none"/>
        </w:rPr>
        <w:t xml:space="preserve"> </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一、法人或者其他组织的营业执照等证明文件，自然人的身份证明</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lang w:val="en-US" w:eastAsia="zh-CN"/>
        </w:rPr>
        <w:t xml:space="preserve">二、上一年度的财务状况报表（至少提供资产负债表、利润表、现金流量表，投标人成立不满一年无需提供）</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、具备履行合同所必需的设备和专业技术能力的书面声明</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四</w:t>
      </w:r>
      <w:r>
        <w:rPr>
          <w:rFonts w:hint="eastAsia" w:ascii="宋体" w:hAnsi="宋体" w:eastAsia="宋体" w:cs="宋体"/>
          <w:i/>
          <w:iCs w:val="0"/>
          <w:color w:val="000000"/>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000000"/>
          <w:highlight w:val="none"/>
          <w:u w:val="single"/>
          <w:lang w:eastAsia="zh-CN"/>
        </w:rPr>
        <w:t xml:space="preserve">供应商</w:t>
      </w:r>
      <w:r>
        <w:rPr>
          <w:rFonts w:hint="eastAsia" w:ascii="宋体" w:hAnsi="宋体" w:eastAsia="宋体" w:cs="宋体"/>
          <w:i/>
          <w:iCs w:val="0"/>
          <w:color w:val="000000"/>
          <w:highlight w:val="none"/>
          <w:u w:val="single"/>
        </w:rPr>
        <w:t xml:space="preserve">依法享受缓缴、免缴税收、社会保障资金的提供证明材料。）</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五、参加政府采购活动前 3 年内在经营活动中没有重大违法记录的书面声明</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七、法人授权书</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八、投标函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九、小微企业声明函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十一、 关于符合本国产品标准的声明函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十二、投标分项报价表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w:t>
      </w: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w:t>
      </w:r>
      <w:r>
        <w:rPr>
          <w:rFonts w:hint="eastAsia" w:ascii="宋体" w:hAnsi="宋体" w:eastAsia="宋体" w:cs="宋体"/>
          <w:i/>
          <w:iCs w:val="0"/>
          <w:color w:val="000000"/>
          <w:highlight w:val="none"/>
          <w:u w:val="single"/>
          <w:lang w:val="en-US" w:eastAsia="zh-CN"/>
        </w:rPr>
        <w:t xml:space="preserve">资格性审查响应对照表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十四、</w:t>
      </w:r>
      <w:r>
        <w:rPr>
          <w:rFonts w:hint="eastAsia" w:ascii="宋体" w:hAnsi="宋体" w:eastAsia="宋体" w:cs="宋体"/>
          <w:i/>
          <w:iCs w:val="0"/>
          <w:color w:val="000000"/>
          <w:highlight w:val="none"/>
          <w:u w:val="single"/>
        </w:rPr>
        <w:t xml:space="preserve">符合性检查响应对照表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十六、开标一览表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十七、盐城市政府采购事前信用承诺书</w:t>
      </w:r>
      <w:r/>
    </w:p>
    <w:p>
      <w:pPr>
        <w:pStyle w:val="895"/>
        <w:jc w:val="both"/>
        <w:keepLines w:val="0"/>
        <w:keepNext w:val="0"/>
        <w:pageBreakBefore w:val="0"/>
        <w:spacing w:beforeAutospacing="0" w:afterAutospacing="0" w:line="420" w:lineRule="exact"/>
        <w:widowControl w:val="off"/>
        <w:rPr>
          <w:highlight w:val="none"/>
        </w:rPr>
      </w:pPr>
      <w:r>
        <w:rPr>
          <w:highlight w:val="none"/>
        </w:rPr>
      </w:r>
      <w:r/>
    </w:p>
    <w:p>
      <w:pPr>
        <w:pStyle w:val="895"/>
        <w:jc w:val="both"/>
        <w:keepLines w:val="0"/>
        <w:keepNext w:val="0"/>
        <w:pageBreakBefore w:val="0"/>
        <w:spacing w:beforeAutospacing="0" w:afterAutospacing="0" w:line="420" w:lineRule="exact"/>
        <w:widowControl w:val="off"/>
        <w:rPr>
          <w:highlight w:val="none"/>
        </w:rPr>
      </w:pPr>
      <w:r>
        <w:rPr>
          <w:highlight w:val="none"/>
        </w:rPr>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highlight w:val="none"/>
        </w:rPr>
        <w:t xml:space="preserve"> </w:t>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0"/>
        <w:jc w:val="both"/>
        <w:spacing w:beforeAutospacing="0" w:afterAutospacing="0"/>
      </w:pPr>
      <w:r/>
      <w:bookmarkStart w:id="178" w:name="_Hlt26671380"/>
      <w:r/>
      <w:bookmarkStart w:id="179" w:name="_Toc120614284"/>
      <w:r/>
      <w:bookmarkStart w:id="180" w:name="_格式3__银行出具的资信证明"/>
      <w:r/>
      <w:bookmarkStart w:id="181" w:name="_Hlt26955070"/>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90"/>
        <w:ind w:firstLine="480"/>
        <w:jc w:val="both"/>
        <w:spacing w:beforeAutospacing="0" w:afterAutospacing="0" w:line="0" w:lineRule="atLeast"/>
      </w:pPr>
      <w:r>
        <w:t xml:space="preserve"> </w:t>
      </w:r>
      <w:r/>
    </w:p>
    <w:p>
      <w:pPr>
        <w:pStyle w:val="890"/>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二、上一年度的财务状况报表</w:t>
      </w:r>
      <w:r/>
    </w:p>
    <w:p>
      <w:pPr>
        <w:pStyle w:val="890"/>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90"/>
        <w:jc w:val="both"/>
        <w:spacing w:beforeAutospacing="0" w:afterAutospacing="0"/>
      </w:pPr>
      <w:r>
        <w:t xml:space="preserve"> </w:t>
      </w:r>
      <w:r/>
    </w:p>
    <w:p>
      <w:pPr>
        <w:pStyle w:val="890"/>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9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9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0"/>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90"/>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90"/>
        <w:jc w:val="both"/>
        <w:spacing w:beforeAutospacing="0" w:afterAutospacing="0"/>
      </w:pPr>
      <w:r>
        <w:t xml:space="preserve"> </w:t>
      </w:r>
      <w:r/>
    </w:p>
    <w:p>
      <w:pPr>
        <w:pStyle w:val="89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90"/>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9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9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0"/>
        <w:jc w:val="both"/>
        <w:spacing w:beforeAutospacing="0" w:afterAutospacing="0"/>
      </w:pPr>
      <w:r>
        <w:t xml:space="preserve"> </w:t>
      </w:r>
      <w:r/>
    </w:p>
    <w:p>
      <w:pPr>
        <w:pStyle w:val="89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9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9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90"/>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90"/>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90"/>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90"/>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90"/>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90"/>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90"/>
        <w:ind w:firstLine="480"/>
        <w:jc w:val="both"/>
        <w:spacing w:beforeAutospacing="0" w:afterAutospacing="0"/>
        <w:tabs>
          <w:tab w:val="left" w:pos="360" w:leader="none"/>
        </w:tabs>
      </w:pPr>
      <w:r>
        <w:rPr>
          <w:rFonts w:ascii="Times New Roman" w:hAnsi="Times New Roman"/>
          <w:color w:val="000000"/>
        </w:rPr>
        <w:t xml:space="preserve">      日期：</w:t>
      </w:r>
      <w:r>
        <w:rPr>
          <w:rFonts w:ascii="Times New Roman" w:hAnsi="Times New Roman"/>
          <w:color w:val="000000"/>
          <w:u w:val="single"/>
        </w:rPr>
        <w:t xml:space="preserve">                                         </w:t>
      </w:r>
      <w:r/>
    </w:p>
    <w:p>
      <w:pPr>
        <w:pStyle w:val="890"/>
        <w:ind w:firstLine="360"/>
        <w:jc w:val="both"/>
        <w:spacing w:beforeAutospacing="0" w:afterAutospacing="0" w:line="0" w:lineRule="atLeast"/>
      </w:pPr>
      <w:r>
        <w:t xml:space="preserve"> </w:t>
      </w:r>
      <w:r>
        <w:rPr>
          <w:rFonts w:ascii="楷体" w:hAnsi="楷体" w:eastAsia="楷体" w:cs="楷体"/>
          <w:color w:val="000000"/>
          <w:shd w:val="clear" w:color="auto" w:fill="ffff00"/>
        </w:rPr>
        <w:t xml:space="preserve">备注 我公司（单位）委托进行现场演示的人员为</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（人员姓名），身份证号</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w:t>
      </w:r>
      <w:r/>
    </w:p>
    <w:p>
      <w:pPr>
        <w:pStyle w:val="890"/>
        <w:jc w:val="both"/>
        <w:spacing w:beforeAutospacing="0" w:afterAutospacing="0" w:line="0" w:lineRule="atLeast"/>
      </w:pPr>
      <w:r/>
      <w:r/>
    </w:p>
    <w:p>
      <w:pPr>
        <w:pStyle w:val="890"/>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0"/>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0"/>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890"/>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pt;mso-position-horizontal:absolute;mso-position-vertical-relative:text;margin-top:4.8pt;mso-position-vertical:absolute;width:451.2pt;height:140.0pt;mso-wrap-distance-left:9.0pt;mso-wrap-distance-top:0.0pt;mso-wrap-distance-right:9.0pt;mso-wrap-distance-bottom:0.0pt;" stroked="f">
                <v:path textboxrect="0,0,0,0"/>
                <v:imagedata r:id="rId12" o:title=""/>
              </v:shape>
            </w:pict>
          </mc:Fallback>
        </mc:AlternateContent>
      </w:r>
      <w:r/>
    </w:p>
    <w:p>
      <w:pPr>
        <w:pStyle w:val="890"/>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0"/>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0"/>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0"/>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0"/>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0"/>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90"/>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8.4pt;mso-position-horizontal:absolute;mso-position-vertical-relative:text;margin-top:30.5pt;mso-position-vertical:absolute;width:451.2pt;height:14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color w:val="000000"/>
        </w:rPr>
        <w:br w:type="page" w:clear="all"/>
      </w:r>
      <w:r/>
    </w:p>
    <w:p>
      <w:pPr>
        <w:pStyle w:val="895"/>
        <w:ind w:firstLine="3213"/>
        <w:jc w:val="both"/>
        <w:keepLines/>
        <w:keepNext/>
        <w:spacing w:before="260" w:beforeAutospacing="0" w:after="260" w:afterAutospacing="0" w:line="415" w:lineRule="auto"/>
        <w:rPr>
          <w:highlight w:val="none"/>
        </w:rPr>
      </w:pP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p>
    <w:p>
      <w:pPr>
        <w:pStyle w:val="895"/>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val="en-US" w:eastAsia="zh-CN"/>
        </w:rPr>
        <w:t xml:space="preserve">射阳县应急管理局</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eastAsia="zh-CN"/>
        </w:rPr>
        <w:t xml:space="preserve">JSZC-320924-JZCG-G2026-00</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95"/>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rFonts w:hint="eastAsia" w:eastAsia="黑体"/>
          <w:color w:val="000000"/>
          <w:highlight w:val="none"/>
          <w:lang w:eastAsia="zh-CN"/>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lang w:eastAsia="zh-CN"/>
        </w:rPr>
        <w:t xml:space="preserve">）</w:t>
      </w:r>
      <w:r/>
    </w:p>
    <w:p>
      <w:pPr>
        <w:ind w:firstLine="480"/>
        <w:jc w:val="both"/>
        <w:spacing w:line="500" w:lineRule="exact"/>
        <w:rPr>
          <w:rFonts w:hint="eastAsia"/>
          <w:color w:val="000000"/>
          <w:sz w:val="24"/>
          <w:highlight w:val="none"/>
        </w:rPr>
      </w:pPr>
      <w:r>
        <w:rPr>
          <w:rFonts w:hint="eastAsia"/>
          <w:color w:val="000000"/>
          <w:sz w:val="24"/>
          <w:highlight w:val="none"/>
        </w:rPr>
      </w:r>
      <w:r/>
    </w:p>
    <w:p>
      <w:pPr>
        <w:ind w:firstLine="480"/>
        <w:jc w:val="both"/>
        <w:spacing w:line="500" w:lineRule="exact"/>
        <w:rPr>
          <w:rFonts w:hint="eastAsia"/>
          <w:color w:val="000000"/>
          <w:sz w:val="24"/>
          <w:highlight w:val="none"/>
        </w:rPr>
      </w:pPr>
      <w:r>
        <w:rPr>
          <w:rFonts w:hint="eastAsia"/>
          <w:color w:val="000000"/>
          <w:sz w:val="24"/>
          <w:highlight w:val="none"/>
        </w:rPr>
        <w:t xml:space="preserve">本公司郑重声明，根据《政府采购促进中小企业发展管理办法》(财库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)的规定，本公司参加</w:t>
      </w:r>
      <w:r>
        <w:rPr>
          <w:rFonts w:hint="eastAsia"/>
          <w:color w:val="000000"/>
          <w:sz w:val="24"/>
          <w:highlight w:val="none"/>
          <w:lang w:val="en-US" w:eastAsia="zh-CN"/>
        </w:rPr>
        <w:t xml:space="preserve">射阳县应急管理局</w:t>
      </w:r>
      <w:r>
        <w:rPr>
          <w:rFonts w:hint="eastAsia"/>
          <w:color w:val="000000"/>
          <w:sz w:val="24"/>
          <w:highlight w:val="none"/>
        </w:rPr>
        <w:t xml:space="preserve">组织的采购编号为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eastAsia="宋体" w:cs="Times New Roman"/>
          <w:color w:val="000000"/>
          <w:sz w:val="24"/>
          <w:highlight w:val="none"/>
          <w:u w:val="single"/>
          <w:lang w:val="en-US" w:eastAsia="zh-CN"/>
        </w:rPr>
        <w:t xml:space="preserve">*******</w:t>
      </w:r>
      <w:r>
        <w:rPr>
          <w:rFonts w:hint="eastAsia"/>
          <w:color w:val="000000"/>
          <w:sz w:val="24"/>
          <w:highlight w:val="none"/>
        </w:rPr>
        <w:t xml:space="preserve">的</w:t>
      </w:r>
      <w:r>
        <w:rPr>
          <w:rFonts w:hint="eastAsia"/>
          <w:color w:val="000000"/>
          <w:sz w:val="24"/>
          <w:highlight w:val="none"/>
          <w:u w:val="single"/>
          <w:lang w:eastAsia="zh-CN"/>
        </w:rPr>
        <w:t xml:space="preserve">射阳县应急管理局射阳县沿海处置中心信息化提升项目（一期）</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小微</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的小微</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小微</w:t>
      </w:r>
      <w:r>
        <w:rPr>
          <w:rFonts w:hint="eastAsia"/>
          <w:color w:val="000000"/>
          <w:sz w:val="24"/>
          <w:highlight w:val="none"/>
        </w:rPr>
        <w:t xml:space="preserve">企业）的具体情况如下：</w:t>
      </w:r>
      <w:r/>
    </w:p>
    <w:p>
      <w:pPr>
        <w:pStyle w:val="895"/>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p>
    <w:p>
      <w:pPr>
        <w:pStyle w:val="895"/>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p>
    <w:p>
      <w:pPr>
        <w:pStyle w:val="895"/>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p>
    <w:p>
      <w:pPr>
        <w:pStyle w:val="895"/>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pStyle w:val="895"/>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p>
    <w:p>
      <w:pPr>
        <w:pStyle w:val="895"/>
        <w:ind w:right="720"/>
        <w:jc w:val="both"/>
        <w:spacing w:before="0" w:beforeAutospacing="0" w:after="0" w:afterAutospacing="0" w:line="360" w:lineRule="auto"/>
        <w:widowControl w:val="off"/>
        <w:rPr>
          <w:color w:val="000000"/>
          <w:highlight w:val="none"/>
        </w:rPr>
      </w:pPr>
      <w:r>
        <w:rPr>
          <w:color w:val="000000"/>
          <w:highlight w:val="none"/>
        </w:rPr>
        <w:t xml:space="preserve"> </w:t>
      </w:r>
      <w:r/>
    </w:p>
    <w:p>
      <w:pPr>
        <w:pStyle w:val="895"/>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p>
    <w:p>
      <w:pPr>
        <w:pStyle w:val="895"/>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p>
    <w:p>
      <w:pPr>
        <w:pStyle w:val="895"/>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95"/>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95"/>
        <w:ind w:firstLine="480"/>
        <w:jc w:val="both"/>
        <w:spacing w:before="0" w:beforeAutospacing="0" w:after="0" w:afterAutospacing="0" w:line="360" w:lineRule="auto"/>
        <w:widowControl w:val="off"/>
        <w:rPr>
          <w:rFonts w:hint="eastAsia" w:eastAsia="宋体"/>
          <w:highlight w:val="none"/>
          <w:lang w:eastAsia="zh-CN"/>
        </w:rPr>
      </w:pPr>
      <w:r>
        <w:rPr>
          <w:rFonts w:hint="eastAsia"/>
          <w:color w:val="000000"/>
          <w:highlight w:val="none"/>
        </w:rPr>
        <w:t xml:space="preserve">备注2：供应商如不提供此声明函，价格将不做相应扣除</w:t>
      </w:r>
      <w:r>
        <w:rPr>
          <w:rFonts w:hint="eastAsia"/>
          <w:color w:val="000000"/>
          <w:highlight w:val="none"/>
          <w:lang w:eastAsia="zh-CN"/>
        </w:rPr>
        <w:t xml:space="preserve">。</w:t>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p>
    <w:p>
      <w:pPr>
        <w:pStyle w:val="89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5"/>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cs="宋体"/>
          <w:color w:val="000000"/>
          <w:highlight w:val="none"/>
          <w:lang w:val="en-US" w:eastAsia="zh-CN"/>
        </w:rPr>
        <w:t xml:space="preserve">射阳县应急管理局</w:t>
      </w:r>
      <w:r>
        <w:rPr>
          <w:rFonts w:hint="eastAsia" w:ascii="宋体" w:hAnsi="宋体" w:eastAsia="宋体" w:cs="宋体"/>
          <w:color w:val="000000"/>
          <w:highlight w:val="none"/>
        </w:rPr>
        <w:t xml:space="preserve">的采购文件编号为</w:t>
      </w:r>
      <w:r>
        <w:rPr>
          <w:rFonts w:hint="eastAsia" w:ascii="宋体" w:hAnsi="宋体" w:cs="宋体"/>
          <w:color w:val="000000"/>
          <w:highlight w:val="none"/>
          <w:u w:val="single"/>
          <w:lang w:val="en-US" w:eastAsia="zh-CN"/>
        </w:rPr>
        <w:t xml:space="preserve">*******</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射阳县应急管理局射阳县沿海处置中心信息化提升项目（一期）</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p>
    <w:p>
      <w:pPr>
        <w:pStyle w:val="895"/>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95"/>
        <w:ind w:firstLine="624"/>
        <w:jc w:val="both"/>
        <w:spacing w:beforeAutospacing="0" w:afterAutospacing="0" w:line="0" w:lineRule="atLeast"/>
        <w:rPr>
          <w:highlight w:val="none"/>
        </w:rPr>
      </w:pPr>
      <w:r>
        <w:rPr>
          <w:highlight w:val="none"/>
        </w:rPr>
        <w:t xml:space="preserve"> </w:t>
      </w:r>
      <w:r/>
    </w:p>
    <w:p>
      <w:pPr>
        <w:pStyle w:val="89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9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p>
    <w:p>
      <w:pPr>
        <w:pStyle w:val="895"/>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p>
    <w:p>
      <w:pPr>
        <w:pStyle w:val="890"/>
        <w:ind w:left="0" w:firstLine="420"/>
        <w:jc w:val="both"/>
        <w:keepLines w:val="0"/>
        <w:keepNext w:val="0"/>
        <w:pageBreakBefore w:val="0"/>
        <w:spacing w:before="0" w:beforeAutospacing="0" w:after="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w:t>
      </w:r>
      <w:r>
        <w:rPr>
          <w:rFonts w:ascii="宋体" w:hAnsi="宋体" w:eastAsia="宋体" w:cs="宋体"/>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vertAlign w:val="superscript"/>
        </w:rPr>
        <w:t xml:space="preserve">1</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vertAlign w:val="superscript"/>
        </w:rPr>
        <w:t xml:space="preserve">2</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 （产品名称1）</w:t>
      </w:r>
      <w:r>
        <w:rPr>
          <w:rFonts w:ascii="宋体" w:hAnsi="宋体" w:eastAsia="宋体" w:cs="宋体"/>
          <w:color w:val="auto"/>
          <w:sz w:val="24"/>
          <w:szCs w:val="24"/>
          <w:highlight w:val="none"/>
          <w:u w:val="single"/>
          <w:shd w:val="clear" w:color="auto" w:fill="ffffff"/>
        </w:rPr>
        <w:t xml:space="preserve"> </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strike/>
          <w:color w:val="auto"/>
          <w:sz w:val="24"/>
          <w:szCs w:val="24"/>
          <w:highlight w:val="none"/>
          <w:shd w:val="clear" w:color="auto" w:fill="ffffff"/>
          <w:vertAlign w:val="superscript"/>
        </w:rPr>
        <w:t xml:space="preserve">3</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strike/>
          <w:color w:val="auto"/>
          <w:sz w:val="24"/>
          <w:szCs w:val="24"/>
          <w:highlight w:val="none"/>
          <w:shd w:val="clear" w:color="auto" w:fill="ffffff"/>
          <w:vertAlign w:val="superscript"/>
        </w:rPr>
        <w:t xml:space="preserve">4</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strike/>
          <w:color w:val="auto"/>
          <w:sz w:val="24"/>
          <w:szCs w:val="24"/>
          <w:highlight w:val="none"/>
          <w:shd w:val="clear" w:color="auto" w:fill="ffffff"/>
          <w:vertAlign w:val="superscript"/>
        </w:rPr>
        <w:t xml:space="preserve">5</w:t>
      </w:r>
      <w:r>
        <w:rPr>
          <w:rFonts w:ascii="宋体" w:hAnsi="宋体" w:eastAsia="宋体" w:cs="宋体"/>
          <w:color w:val="auto"/>
          <w:sz w:val="24"/>
          <w:szCs w:val="24"/>
          <w:highlight w:val="none"/>
          <w:shd w:val="clear" w:color="auto" w:fill="ffffff"/>
        </w:rPr>
        <w:t xml:space="preserve">在中国境内完成。</w:t>
      </w:r>
      <w:r/>
    </w:p>
    <w:p>
      <w:pPr>
        <w:pStyle w:val="89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w:t>
      </w:r>
      <w:r>
        <w:rPr>
          <w:rFonts w:ascii="宋体" w:hAnsi="宋体" w:eastAsia="宋体" w:cs="宋体"/>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color w:val="auto"/>
          <w:sz w:val="24"/>
          <w:szCs w:val="24"/>
          <w:highlight w:val="none"/>
          <w:shd w:val="clear" w:color="auto" w:fill="ffffff"/>
        </w:rPr>
        <w:t xml:space="preserve">在中国境内完成。</w:t>
      </w:r>
      <w:r/>
    </w:p>
    <w:p>
      <w:pPr>
        <w:pStyle w:val="89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w:t>
      </w:r>
      <w:r/>
    </w:p>
    <w:p>
      <w:pPr>
        <w:pStyle w:val="890"/>
        <w:ind w:left="0" w:firstLine="420"/>
        <w:jc w:val="both"/>
        <w:keepLines w:val="0"/>
        <w:keepNext w:val="0"/>
        <w:pageBreakBefore w:val="0"/>
        <w:spacing w:before="30" w:beforeAutospacing="0" w:after="30" w:afterAutospacing="0" w:line="5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9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890"/>
        <w:ind w:left="0" w:right="480" w:firstLine="372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公司（单位）名称（盖章）：　</w:t>
      </w:r>
      <w:r/>
    </w:p>
    <w:p>
      <w:pPr>
        <w:pStyle w:val="890"/>
        <w:jc w:val="center"/>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             日期：　   年　  月　  日         </w:t>
      </w:r>
      <w:r/>
    </w:p>
    <w:p>
      <w:pPr>
        <w:pStyle w:val="890"/>
        <w:jc w:val="both"/>
        <w:keepLines w:val="0"/>
        <w:keepNext w:val="0"/>
        <w:pageBreakBefore w:val="0"/>
        <w:spacing w:before="30" w:beforeAutospacing="0" w:after="30" w:afterAutospacing="0" w:line="460" w:lineRule="exact"/>
        <w:widowControl w:val="off"/>
        <w:rPr>
          <w:rFonts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r>
      <w:r/>
    </w:p>
    <w:p>
      <w:pPr>
        <w:pStyle w:val="89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__________________</w:t>
      </w:r>
      <w:r/>
    </w:p>
    <w:p>
      <w:pPr>
        <w:pStyle w:val="89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1.产品如有型号，请在“产品名称”栏一并填写。</w:t>
      </w:r>
      <w:r/>
    </w:p>
    <w:p>
      <w:pPr>
        <w:pStyle w:val="89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9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9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4.该产品的关键组件要求实施前，“关键组件”栏可不填，下同。</w:t>
      </w:r>
      <w:r/>
    </w:p>
    <w:p>
      <w:pPr>
        <w:pStyle w:val="89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5.该产品的关键工序要求实施前，“关键工序”栏可不填，下同。</w:t>
      </w:r>
      <w:r/>
    </w:p>
    <w:p>
      <w:pPr>
        <w:pStyle w:val="890"/>
        <w:jc w:val="both"/>
        <w:keepLines w:val="0"/>
        <w:keepNext w:val="0"/>
        <w:pageBreakBefore w:val="0"/>
        <w:spacing w:before="30" w:beforeAutospacing="0" w:after="30" w:afterAutospacing="0" w:line="46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6.用</w:t>
      </w:r>
      <w:r>
        <w:rPr>
          <w:rFonts w:hint="eastAsia" w:ascii="宋体" w:hAnsi="宋体" w:eastAsia="宋体" w:cs="宋体"/>
          <w:color w:val="auto"/>
          <w:sz w:val="24"/>
          <w:szCs w:val="24"/>
          <w:highlight w:val="none"/>
          <w:shd w:val="clear" w:color="auto" w:fill="ffffff"/>
          <w:lang w:val="en-US" w:eastAsia="zh-CN"/>
        </w:rPr>
        <w:t xml:space="preserve">横</w:t>
      </w:r>
      <w:r>
        <w:rPr>
          <w:rFonts w:ascii="宋体" w:hAnsi="宋体" w:eastAsia="宋体" w:cs="宋体"/>
          <w:color w:val="auto"/>
          <w:sz w:val="24"/>
          <w:szCs w:val="24"/>
          <w:highlight w:val="none"/>
          <w:shd w:val="clear" w:color="auto" w:fill="ffffff"/>
        </w:rPr>
        <w:t xml:space="preserve">线划除的地方无需填写。</w:t>
      </w:r>
      <w:r/>
    </w:p>
    <w:p>
      <w:pPr>
        <w:pStyle w:val="890"/>
        <w:ind w:firstLine="645"/>
        <w:jc w:val="both"/>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p>
    <w:tbl>
      <w:tblPr>
        <w:tblStyle w:val="885"/>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产品</w:t>
            </w:r>
            <w:r/>
          </w:p>
          <w:p>
            <w:pPr>
              <w:pStyle w:val="890"/>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规格</w:t>
            </w:r>
            <w:r/>
          </w:p>
          <w:p>
            <w:pPr>
              <w:pStyle w:val="890"/>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0"/>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0"/>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0"/>
              <w:jc w:val="both"/>
              <w:spacing w:beforeAutospacing="0" w:afterAutospacing="0" w:line="0" w:lineRule="atLeast"/>
            </w:p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0"/>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0"/>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0"/>
              <w:jc w:val="both"/>
              <w:spacing w:beforeAutospacing="0" w:afterAutospacing="0" w:line="0" w:lineRule="atLeast"/>
            </w:p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ind w:firstLine="480"/>
      </w:pPr>
      <w:r>
        <w:t xml:space="preserve"> </w:t>
      </w:r>
      <w:r/>
    </w:p>
    <w:p>
      <w:pPr>
        <w:pStyle w:val="897"/>
        <w:ind w:firstLine="480"/>
      </w:pPr>
      <w:r/>
      <w:r/>
    </w:p>
    <w:p>
      <w:pPr>
        <w:ind w:firstLine="224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513"/>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rPr>
        <w:t xml:space="preserve">      </w:t>
      </w:r>
      <w:r/>
    </w:p>
    <w:p>
      <w:pPr>
        <w:pStyle w:val="895"/>
        <w:jc w:val="both"/>
        <w:spacing w:beforeAutospacing="0" w:afterAutospacing="0"/>
        <w:rPr>
          <w:rFonts w:hint="eastAsia"/>
          <w:u w:val="single"/>
        </w:rPr>
      </w:pPr>
      <w:r>
        <w:rPr>
          <w:rFonts w:hint="eastAsia"/>
          <w:u w:val="single"/>
        </w:rPr>
      </w:r>
      <w:r/>
    </w:p>
    <w:p>
      <w:pPr>
        <w:pStyle w:val="895"/>
        <w:ind w:firstLine="5520"/>
        <w:jc w:val="both"/>
        <w:spacing w:beforeAutospacing="0" w:afterAutospacing="0"/>
        <w:rPr>
          <w:rFonts w:hint="eastAsia" w:ascii="黑体" w:hAnsi="宋体" w:eastAsia="黑体" w:cs="黑体"/>
          <w:b/>
          <w:color w:val="000000"/>
          <w:sz w:val="32"/>
          <w:szCs w:val="32"/>
          <w:highlight w:val="none"/>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rPr>
          <w:rFonts w:hAnsi="宋体"/>
          <w:b/>
          <w:bCs/>
          <w:sz w:val="32"/>
          <w:szCs w:val="32"/>
        </w:rPr>
        <w:outlineLvl w:val="1"/>
      </w:pPr>
      <w:r/>
      <w:bookmarkStart w:id="182" w:name="_Hlt26609389"/>
      <w:r/>
      <w:bookmarkStart w:id="183" w:name="_Toc462564146"/>
      <w:r/>
      <w:bookmarkStart w:id="184" w:name="_Hlt26955054"/>
      <w:r/>
      <w:bookmarkStart w:id="185" w:name="_Hlt26955066"/>
      <w:r/>
      <w:bookmarkStart w:id="186" w:name="_Hlt26671374"/>
      <w:r/>
      <w:bookmarkStart w:id="187" w:name="_格式2__法定代表人授权书"/>
      <w:r>
        <w:rPr>
          <w:rFonts w:hint="eastAsia" w:ascii="黑体" w:hAnsi="宋体" w:eastAsia="黑体" w:cs="黑体"/>
          <w:b/>
          <w:color w:val="000000"/>
          <w:sz w:val="32"/>
          <w:szCs w:val="32"/>
          <w:lang w:val="en-US" w:eastAsia="zh-CN" w:bidi="ar-SA"/>
        </w:rPr>
        <w:t xml:space="preserve">十三、资格性审查响应对照表</w:t>
      </w:r>
      <w:r/>
    </w:p>
    <w:tbl>
      <w:tblPr>
        <w:tblStyle w:val="885"/>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900"/>
        <w:gridCol w:w="173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90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73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提供营业执照</w:t>
            </w:r>
            <w:r/>
          </w:p>
        </w:tc>
        <w:tc>
          <w:tcPr>
            <w:tcW w:w="173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年度财务状况报告</w:t>
            </w:r>
            <w:r/>
          </w:p>
        </w:tc>
        <w:tc>
          <w:tcPr>
            <w:tcW w:w="173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本年度近期依法缴纳税费凭证</w:t>
            </w:r>
            <w:r/>
          </w:p>
        </w:tc>
        <w:tc>
          <w:tcPr>
            <w:tcW w:w="1730"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6900" w:type="dxa"/>
            <w:vAlign w:val="center"/>
            <w:textDirection w:val="lrTb"/>
            <w:noWrap w:val="false"/>
          </w:tcPr>
          <w:p>
            <w:pPr>
              <w:rPr>
                <w:rFonts w:hAnsi="宋体"/>
                <w:iCs/>
                <w:sz w:val="24"/>
              </w:rPr>
            </w:pPr>
            <w:r>
              <w:rPr>
                <w:rFonts w:hint="eastAsia" w:hAnsi="宋体"/>
                <w:iCs/>
                <w:sz w:val="24"/>
              </w:rPr>
              <w:t xml:space="preserve">本年度近期依法缴纳社保费的凭证</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5</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rPr>
              <w:t xml:space="preserve">具备履行合同所必需的设备和专业技术能力的书面声明；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highlight w:val="yellow"/>
              </w:rPr>
            </w:pPr>
            <w:r>
              <w:rPr>
                <w:rFonts w:hint="eastAsia" w:hAnsi="宋体"/>
              </w:rPr>
              <w:t xml:space="preserve">6</w:t>
            </w:r>
            <w:r/>
          </w:p>
        </w:tc>
        <w:tc>
          <w:tcPr>
            <w:tcW w:w="6900" w:type="dxa"/>
            <w:vAlign w:val="center"/>
            <w:textDirection w:val="lrTb"/>
            <w:noWrap w:val="false"/>
          </w:tcPr>
          <w:p>
            <w:pPr>
              <w:spacing w:line="480" w:lineRule="exact"/>
              <w:rPr>
                <w:rFonts w:hint="eastAsia" w:hAnsi="宋体"/>
                <w:iCs/>
                <w:sz w:val="24"/>
              </w:rPr>
            </w:pPr>
            <w:r>
              <w:rPr>
                <w:rFonts w:hint="eastAsia" w:hAnsi="宋体"/>
                <w:iCs/>
                <w:sz w:val="24"/>
              </w:rPr>
              <w:t xml:space="preserve">参加政府采购活动前3年内在经营活动中没有重大违法记录的书面声明。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7</w:t>
            </w:r>
            <w:r/>
          </w:p>
        </w:tc>
        <w:tc>
          <w:tcPr>
            <w:tcW w:w="6900" w:type="dxa"/>
            <w:vAlign w:val="center"/>
            <w:textDirection w:val="lrTb"/>
            <w:noWrap w:val="false"/>
          </w:tcPr>
          <w:p>
            <w:pPr>
              <w:spacing w:line="480" w:lineRule="exact"/>
              <w:rPr>
                <w:rFonts w:hint="default" w:hAnsi="宋体"/>
                <w:iCs/>
                <w:sz w:val="24"/>
                <w:lang w:val="en-US" w:eastAsia="zh-CN"/>
              </w:rPr>
            </w:pPr>
            <w:r>
              <w:rPr>
                <w:rFonts w:hint="default" w:hAnsi="宋体"/>
                <w:iCs/>
                <w:sz w:val="24"/>
                <w:lang w:val="en-US" w:eastAsia="zh-CN"/>
              </w:rPr>
            </w:r>
            <w:r/>
          </w:p>
        </w:tc>
        <w:tc>
          <w:tcPr>
            <w:tcW w:w="173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8</w:t>
            </w:r>
            <w:r/>
          </w:p>
        </w:tc>
        <w:tc>
          <w:tcPr>
            <w:tcW w:w="6900" w:type="dxa"/>
            <w:vAlign w:val="center"/>
            <w:textDirection w:val="lrTb"/>
            <w:noWrap w:val="false"/>
          </w:tcPr>
          <w:p>
            <w:pPr>
              <w:spacing w:line="480" w:lineRule="exact"/>
              <w:rPr>
                <w:rFonts w:hint="default" w:hAnsi="宋体"/>
                <w:iCs/>
                <w:sz w:val="24"/>
                <w:lang w:val="en-US" w:eastAsia="zh-CN"/>
              </w:rPr>
            </w:pPr>
            <w:r>
              <w:rPr>
                <w:rFonts w:hint="default" w:hAnsi="宋体"/>
                <w:iCs/>
                <w:sz w:val="24"/>
                <w:lang w:val="en-US" w:eastAsia="zh-CN"/>
              </w:rPr>
            </w:r>
            <w:r/>
          </w:p>
        </w:tc>
        <w:tc>
          <w:tcPr>
            <w:tcW w:w="1730" w:type="dxa"/>
            <w:vAlign w:val="center"/>
            <w:textDirection w:val="lrTb"/>
            <w:noWrap w:val="false"/>
          </w:tcPr>
          <w:p>
            <w:pPr>
              <w:rPr>
                <w:rFonts w:hAnsi="宋体"/>
              </w:rPr>
            </w:pPr>
            <w:r>
              <w:rPr>
                <w:rFonts w:hAnsi="宋体"/>
              </w:rPr>
            </w:r>
            <w:r/>
          </w:p>
        </w:tc>
      </w:tr>
      <w:tr>
        <w:trPr>
          <w:trHeight w:val="3068"/>
        </w:trPr>
        <w:tc>
          <w:tcPr>
            <w:tcW w:w="646" w:type="dxa"/>
            <w:vAlign w:val="center"/>
            <w:textDirection w:val="lrTb"/>
            <w:noWrap w:val="false"/>
          </w:tcPr>
          <w:p>
            <w:pPr>
              <w:rPr>
                <w:rFonts w:hAnsi="宋体"/>
              </w:rPr>
            </w:pPr>
            <w:r>
              <w:rPr>
                <w:rFonts w:hAnsi="宋体"/>
              </w:rPr>
            </w:r>
            <w:r/>
          </w:p>
        </w:tc>
        <w:tc>
          <w:tcPr>
            <w:tcW w:w="6900" w:type="dxa"/>
            <w:vAlign w:val="center"/>
            <w:textDirection w:val="lrTb"/>
            <w:noWrap w:val="false"/>
          </w:tcPr>
          <w:p>
            <w:pPr>
              <w:spacing w:line="590" w:lineRule="atLeast"/>
              <w:rPr>
                <w:rFonts w:hAnsi="宋体"/>
                <w:iCs/>
                <w:sz w:val="24"/>
              </w:rPr>
            </w:pPr>
            <w:r>
              <w:rPr>
                <w:rFonts w:hAnsi="宋体"/>
                <w:iCs/>
                <w:sz w:val="24"/>
              </w:rPr>
            </w:r>
            <w:r/>
          </w:p>
        </w:tc>
        <w:tc>
          <w:tcPr>
            <w:tcW w:w="173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890"/>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9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spacing w:before="50" w:after="50"/>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int="eastAsia" w:hAnsi="宋体"/>
          <w:b/>
          <w:bCs/>
          <w:sz w:val="32"/>
          <w:szCs w:val="32"/>
          <w:lang w:val="en-US" w:eastAsia="zh-CN"/>
        </w:rPr>
        <w:t xml:space="preserve">十四、</w:t>
      </w:r>
      <w:r>
        <w:rPr>
          <w:rFonts w:hint="eastAsia" w:hAnsi="宋体"/>
          <w:b/>
          <w:bCs/>
          <w:sz w:val="32"/>
          <w:szCs w:val="32"/>
        </w:rPr>
        <w:t xml:space="preserve">符合性检查响应对照表</w:t>
      </w:r>
      <w:r/>
    </w:p>
    <w:tbl>
      <w:tblPr>
        <w:tblStyle w:val="885"/>
        <w:tblW w:w="8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315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4770"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15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1</w:t>
            </w:r>
            <w:r/>
          </w:p>
        </w:tc>
        <w:tc>
          <w:tcPr>
            <w:tcW w:w="4770" w:type="dxa"/>
            <w:vAlign w:val="center"/>
            <w:textDirection w:val="lrTb"/>
            <w:noWrap w:val="false"/>
          </w:tcPr>
          <w:p>
            <w:pPr>
              <w:rPr>
                <w:rFonts w:hint="eastAsia" w:hAnsi="宋体" w:eastAsia="宋体" w:cs="Times New Roman"/>
                <w:iCs/>
                <w:sz w:val="24"/>
                <w:szCs w:val="22"/>
              </w:rPr>
            </w:pPr>
            <w:r>
              <w:rPr>
                <w:rFonts w:hint="eastAsia" w:hAnsi="宋体" w:eastAsia="宋体" w:cs="Times New Roman"/>
                <w:iCs/>
                <w:sz w:val="24"/>
                <w:szCs w:val="22"/>
              </w:rPr>
              <w:t xml:space="preserve">质量要求</w:t>
            </w:r>
            <w:r/>
          </w:p>
        </w:tc>
        <w:tc>
          <w:tcPr>
            <w:tcW w:w="315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2</w:t>
            </w:r>
            <w:r/>
          </w:p>
        </w:tc>
        <w:tc>
          <w:tcPr>
            <w:tcW w:w="4770" w:type="dxa"/>
            <w:vAlign w:val="center"/>
            <w:textDirection w:val="lrTb"/>
            <w:noWrap w:val="false"/>
          </w:tcPr>
          <w:p>
            <w:pPr>
              <w:rPr>
                <w:rFonts w:hint="eastAsia" w:hAnsi="宋体" w:eastAsia="宋体" w:cs="Times New Roman"/>
                <w:iCs/>
                <w:sz w:val="24"/>
                <w:szCs w:val="22"/>
              </w:rPr>
            </w:pPr>
            <w:r>
              <w:rPr>
                <w:rFonts w:hint="eastAsia" w:hAnsi="宋体" w:eastAsia="宋体" w:cs="Times New Roman"/>
                <w:iCs/>
                <w:sz w:val="24"/>
                <w:szCs w:val="22"/>
              </w:rPr>
              <w:t xml:space="preserve">售后服务</w:t>
            </w:r>
            <w:r/>
          </w:p>
        </w:tc>
        <w:tc>
          <w:tcPr>
            <w:tcW w:w="315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3</w:t>
            </w:r>
            <w:r/>
          </w:p>
        </w:tc>
        <w:tc>
          <w:tcPr>
            <w:tcW w:w="4770" w:type="dxa"/>
            <w:vAlign w:val="center"/>
            <w:textDirection w:val="lrTb"/>
            <w:noWrap w:val="false"/>
          </w:tcPr>
          <w:p>
            <w:pPr>
              <w:rPr>
                <w:rFonts w:hint="eastAsia" w:hAnsi="宋体" w:eastAsia="宋体" w:cs="Times New Roman"/>
                <w:iCs/>
                <w:sz w:val="24"/>
                <w:szCs w:val="22"/>
                <w:lang w:val="en-US" w:eastAsia="zh-CN"/>
              </w:rPr>
            </w:pPr>
            <w:r>
              <w:rPr>
                <w:rFonts w:hint="eastAsia" w:hAnsi="宋体" w:eastAsia="宋体" w:cs="Times New Roman"/>
                <w:iCs/>
                <w:sz w:val="24"/>
                <w:szCs w:val="22"/>
                <w:lang w:val="en-US" w:eastAsia="zh-CN"/>
              </w:rPr>
              <w:t xml:space="preserve">验收标准</w:t>
            </w:r>
            <w:r/>
          </w:p>
        </w:tc>
        <w:tc>
          <w:tcPr>
            <w:tcW w:w="3150"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4</w:t>
            </w:r>
            <w:r/>
          </w:p>
        </w:tc>
        <w:tc>
          <w:tcPr>
            <w:tcW w:w="4770" w:type="dxa"/>
            <w:vAlign w:val="center"/>
            <w:textDirection w:val="lrTb"/>
            <w:noWrap w:val="false"/>
          </w:tcPr>
          <w:p>
            <w:pPr>
              <w:rPr>
                <w:rFonts w:hint="default" w:hAnsi="宋体" w:eastAsia="宋体" w:cs="Times New Roman"/>
                <w:iCs/>
                <w:sz w:val="24"/>
                <w:szCs w:val="22"/>
                <w:lang w:val="en-US" w:eastAsia="zh-CN"/>
              </w:rPr>
            </w:pPr>
            <w:r>
              <w:rPr>
                <w:rFonts w:hint="eastAsia" w:hAnsi="宋体" w:eastAsia="宋体" w:cs="Times New Roman"/>
                <w:iCs/>
                <w:sz w:val="24"/>
                <w:szCs w:val="22"/>
                <w:lang w:val="en-US" w:eastAsia="zh-CN"/>
              </w:rPr>
              <w:t xml:space="preserve">安全管理要求</w:t>
            </w:r>
            <w:r/>
          </w:p>
        </w:tc>
        <w:tc>
          <w:tcPr>
            <w:tcW w:w="3150"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eastAsia="宋体"/>
                <w:lang w:val="en-US" w:eastAsia="zh-CN"/>
              </w:rPr>
            </w:pPr>
            <w:r>
              <w:rPr>
                <w:rFonts w:hint="eastAsia" w:hAnsi="宋体"/>
                <w:lang w:val="en-US" w:eastAsia="zh-CN"/>
              </w:rPr>
              <w:t xml:space="preserve">5</w:t>
            </w:r>
            <w:r/>
          </w:p>
        </w:tc>
        <w:tc>
          <w:tcPr>
            <w:tcW w:w="4770" w:type="dxa"/>
            <w:vAlign w:val="center"/>
            <w:textDirection w:val="lrTb"/>
            <w:noWrap w:val="false"/>
          </w:tcPr>
          <w:p>
            <w:pPr>
              <w:rPr>
                <w:rFonts w:hint="eastAsia" w:hAnsi="宋体" w:eastAsia="宋体" w:cs="Times New Roman"/>
                <w:iCs/>
                <w:sz w:val="24"/>
                <w:szCs w:val="22"/>
              </w:rPr>
            </w:pPr>
            <w:r>
              <w:rPr>
                <w:rFonts w:hint="eastAsia" w:hAnsi="宋体" w:eastAsia="宋体" w:cs="Times New Roman"/>
                <w:iCs/>
                <w:sz w:val="24"/>
                <w:szCs w:val="22"/>
                <w:lang w:val="en-US" w:eastAsia="zh-CN"/>
              </w:rPr>
              <w:t xml:space="preserve">项目实施、进度要求</w:t>
            </w:r>
            <w:r/>
          </w:p>
        </w:tc>
        <w:tc>
          <w:tcPr>
            <w:tcW w:w="3150" w:type="dxa"/>
            <w:vAlign w:val="center"/>
            <w:textDirection w:val="lrTb"/>
            <w:noWrap w:val="false"/>
          </w:tcPr>
          <w:p>
            <w:pPr>
              <w:rPr>
                <w:rFonts w:hAnsi="宋体"/>
              </w:rPr>
            </w:pPr>
            <w:r>
              <w:rPr>
                <w:rFonts w:hAnsi="宋体"/>
              </w:rPr>
            </w:r>
            <w:r/>
          </w:p>
        </w:tc>
      </w:tr>
      <w:tr>
        <w:trPr>
          <w:trHeight w:val="582"/>
        </w:trPr>
        <w:tc>
          <w:tcPr>
            <w:tcW w:w="646" w:type="dxa"/>
            <w:vAlign w:val="center"/>
            <w:textDirection w:val="lrTb"/>
            <w:noWrap w:val="false"/>
          </w:tcPr>
          <w:p>
            <w:pPr>
              <w:rPr>
                <w:rFonts w:hint="eastAsia" w:hAnsi="宋体" w:eastAsia="宋体"/>
                <w:lang w:val="en-US" w:eastAsia="zh-CN"/>
              </w:rPr>
            </w:pPr>
            <w:r>
              <w:rPr>
                <w:rFonts w:hint="eastAsia" w:hAnsi="宋体"/>
                <w:lang w:val="en-US" w:eastAsia="zh-CN"/>
              </w:rPr>
              <w:t xml:space="preserve">6</w:t>
            </w:r>
            <w:r/>
          </w:p>
        </w:tc>
        <w:tc>
          <w:tcPr>
            <w:tcW w:w="4770" w:type="dxa"/>
            <w:vAlign w:val="center"/>
            <w:textDirection w:val="lrTb"/>
            <w:noWrap w:val="false"/>
          </w:tcPr>
          <w:p>
            <w:pPr>
              <w:rPr>
                <w:rFonts w:hint="eastAsia" w:hAnsi="宋体" w:eastAsia="宋体" w:cs="Times New Roman"/>
                <w:iCs/>
                <w:sz w:val="24"/>
                <w:szCs w:val="22"/>
              </w:rPr>
            </w:pPr>
            <w:r>
              <w:rPr>
                <w:rFonts w:hint="eastAsia" w:hAnsi="宋体" w:eastAsia="宋体" w:cs="Times New Roman"/>
                <w:iCs/>
                <w:sz w:val="24"/>
                <w:szCs w:val="22"/>
                <w:lang w:val="en-US" w:eastAsia="zh-CN"/>
              </w:rPr>
              <w:t xml:space="preserve">合同履行期限和地点</w:t>
            </w:r>
            <w:r/>
          </w:p>
        </w:tc>
        <w:tc>
          <w:tcPr>
            <w:tcW w:w="3150" w:type="dxa"/>
            <w:vAlign w:val="center"/>
            <w:textDirection w:val="lrTb"/>
            <w:noWrap w:val="false"/>
          </w:tcPr>
          <w:p>
            <w:pPr>
              <w:rPr>
                <w:rFonts w:hAnsi="宋体"/>
              </w:rPr>
            </w:pPr>
            <w:r>
              <w:rPr>
                <w:rFonts w:hAnsi="宋体"/>
              </w:rPr>
            </w:r>
            <w:r/>
          </w:p>
        </w:tc>
      </w:tr>
      <w:tr>
        <w:trPr>
          <w:trHeight w:val="624"/>
        </w:trPr>
        <w:tc>
          <w:tcPr>
            <w:tcW w:w="646" w:type="dxa"/>
            <w:vAlign w:val="center"/>
            <w:textDirection w:val="lrTb"/>
            <w:noWrap w:val="false"/>
          </w:tcPr>
          <w:p>
            <w:pPr>
              <w:rPr>
                <w:rFonts w:hint="eastAsia" w:hAnsi="宋体" w:eastAsia="宋体"/>
                <w:lang w:val="en-US" w:eastAsia="zh-CN"/>
              </w:rPr>
            </w:pPr>
            <w:r>
              <w:rPr>
                <w:rFonts w:hint="eastAsia" w:hAnsi="宋体"/>
                <w:lang w:val="en-US" w:eastAsia="zh-CN"/>
              </w:rPr>
              <w:t xml:space="preserve">7</w:t>
            </w:r>
            <w:r/>
          </w:p>
        </w:tc>
        <w:tc>
          <w:tcPr>
            <w:tcW w:w="4770" w:type="dxa"/>
            <w:vAlign w:val="center"/>
            <w:textDirection w:val="lrTb"/>
            <w:noWrap w:val="false"/>
          </w:tcPr>
          <w:p>
            <w:pPr>
              <w:rPr>
                <w:rFonts w:hint="default" w:hAnsi="宋体" w:eastAsia="宋体" w:cs="Times New Roman"/>
                <w:iCs/>
                <w:sz w:val="24"/>
                <w:szCs w:val="22"/>
                <w:lang w:val="en-US" w:eastAsia="zh-CN"/>
              </w:rPr>
            </w:pPr>
            <w:r>
              <w:rPr>
                <w:rFonts w:hint="eastAsia" w:hAnsi="宋体" w:eastAsia="宋体" w:cs="Times New Roman"/>
                <w:iCs/>
                <w:sz w:val="24"/>
                <w:szCs w:val="22"/>
                <w:lang w:val="en-US" w:eastAsia="zh-CN"/>
              </w:rPr>
              <w:t xml:space="preserve">付款方式</w:t>
            </w:r>
            <w:r/>
          </w:p>
        </w:tc>
        <w:tc>
          <w:tcPr>
            <w:tcW w:w="3150" w:type="dxa"/>
            <w:vAlign w:val="center"/>
            <w:textDirection w:val="lrTb"/>
            <w:noWrap w:val="false"/>
          </w:tcPr>
          <w:p>
            <w:pPr>
              <w:rPr>
                <w:rFonts w:hAnsi="宋体"/>
              </w:rPr>
            </w:pPr>
            <w:r>
              <w:rPr>
                <w:rFonts w:hAnsi="宋体"/>
              </w:rPr>
            </w:r>
            <w:r/>
          </w:p>
        </w:tc>
      </w:tr>
      <w:tr>
        <w:trPr>
          <w:trHeight w:val="624"/>
        </w:trPr>
        <w:tc>
          <w:tcPr>
            <w:tcW w:w="646" w:type="dxa"/>
            <w:vAlign w:val="center"/>
            <w:textDirection w:val="lrTb"/>
            <w:noWrap w:val="false"/>
          </w:tcPr>
          <w:p>
            <w:pPr>
              <w:rPr>
                <w:rFonts w:hint="eastAsia" w:hAnsi="宋体"/>
                <w:lang w:val="en-US" w:eastAsia="zh-CN"/>
              </w:rPr>
            </w:pPr>
            <w:r>
              <w:rPr>
                <w:rFonts w:hint="eastAsia" w:hAnsi="宋体"/>
                <w:lang w:val="en-US" w:eastAsia="zh-CN"/>
              </w:rPr>
            </w:r>
            <w:r/>
          </w:p>
        </w:tc>
        <w:tc>
          <w:tcPr>
            <w:tcW w:w="4770" w:type="dxa"/>
            <w:vAlign w:val="center"/>
            <w:textDirection w:val="lrTb"/>
            <w:noWrap w:val="false"/>
          </w:tcPr>
          <w:p>
            <w:pPr>
              <w:rPr>
                <w:rFonts w:hint="eastAsia" w:hAnsi="宋体" w:eastAsia="宋体" w:cs="Times New Roman"/>
                <w:iCs/>
                <w:sz w:val="24"/>
                <w:szCs w:val="22"/>
                <w:lang w:val="en-US" w:eastAsia="zh-CN"/>
              </w:rPr>
            </w:pPr>
            <w:r>
              <w:rPr>
                <w:rFonts w:hint="eastAsia" w:hAnsi="宋体" w:eastAsia="宋体" w:cs="Times New Roman"/>
                <w:iCs/>
                <w:sz w:val="24"/>
                <w:szCs w:val="22"/>
                <w:lang w:val="en-US" w:eastAsia="zh-CN"/>
              </w:rPr>
            </w:r>
            <w:r/>
          </w:p>
        </w:tc>
        <w:tc>
          <w:tcPr>
            <w:tcW w:w="315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90"/>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9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ind w:left="420"/>
        <w:jc w:val="center"/>
        <w:rPr>
          <w:rFonts w:ascii="宋体" w:hAnsi="宋体"/>
          <w:b/>
          <w:sz w:val="32"/>
          <w:szCs w:val="32"/>
        </w:rPr>
        <w:outlineLvl w:val="1"/>
      </w:pPr>
      <w:r>
        <w:rPr>
          <w:rFonts w:ascii="宋体" w:hAnsi="宋体"/>
          <w:b/>
          <w:sz w:val="32"/>
          <w:szCs w:val="32"/>
        </w:rPr>
      </w:r>
      <w:r/>
    </w:p>
    <w:p>
      <w:pPr>
        <w:pStyle w:val="890"/>
        <w:jc w:val="center"/>
        <w:spacing w:beforeAutospacing="0" w:afterAutospacing="0"/>
      </w:pPr>
      <w:r/>
      <w:r/>
    </w:p>
    <w:p>
      <w:pPr>
        <w:pStyle w:val="883"/>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1</w:t>
      </w:r>
      <w:r>
        <w:rPr>
          <w:rFonts w:hint="eastAsia" w:hAnsi="宋体" w:eastAsia="宋体"/>
          <w:b/>
          <w:bCs/>
          <w:sz w:val="32"/>
          <w:szCs w:val="32"/>
        </w:rPr>
        <w:t xml:space="preserve">、         </w:t>
      </w:r>
      <w:r>
        <w:rPr>
          <w:rFonts w:hint="eastAsia" w:hAnsi="宋体" w:eastAsia="宋体"/>
          <w:b/>
          <w:bCs/>
          <w:sz w:val="32"/>
          <w:szCs w:val="32"/>
          <w:lang w:val="en-US" w:eastAsia="zh-CN"/>
        </w:rPr>
        <w:t xml:space="preserve">   </w:t>
      </w:r>
      <w:r>
        <w:rPr>
          <w:rFonts w:hint="eastAsia" w:hAnsi="宋体" w:eastAsia="宋体"/>
          <w:b/>
          <w:bCs/>
          <w:sz w:val="32"/>
          <w:szCs w:val="32"/>
        </w:rPr>
        <w:t xml:space="preserve">实质性响应内容</w:t>
      </w:r>
      <w:r/>
    </w:p>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一</w:t>
      </w: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二</w:t>
      </w:r>
      <w:r>
        <w:rPr>
          <w:rFonts w:hint="eastAsia" w:ascii="宋体" w:hAnsi="宋体" w:eastAsia="宋体" w:cs="Times New Roman"/>
          <w:b/>
          <w:bCs/>
          <w:color w:val="000000"/>
          <w:sz w:val="24"/>
          <w:szCs w:val="24"/>
          <w:lang w:val="en-US" w:eastAsia="zh-CN"/>
        </w:rPr>
        <w:t xml:space="preserve">、售后服务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三</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2.中标人交货前应对产品作出全面检查和对验收文件进行整理，并列出清单，作为采购人收货验收和使用的技术条件依据，检验的结果应随货物交采购人。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四</w:t>
      </w:r>
      <w:r>
        <w:rPr>
          <w:rFonts w:hint="eastAsia" w:ascii="宋体" w:hAnsi="宋体" w:eastAsia="宋体" w:cs="Times New Roman"/>
          <w:b/>
          <w:bCs/>
          <w:color w:val="000000"/>
          <w:sz w:val="24"/>
          <w:szCs w:val="24"/>
          <w:lang w:val="en-US" w:eastAsia="zh-CN"/>
        </w:rPr>
        <w:t xml:space="preserve">、安全管理要求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为贯彻“安全第一，预防为主”方针，中标方在项目安装调试现场施工过程中，必须遵守国家和地方关于劳动安全、劳务用工等法律法规及规章制度，制定严格的安全措施，加强安全监督管理，对工程施工过程中发生的人身伤害、设备损坏事故承担安全责任，并按国家有关规定，为施工人员进行人身保险，配备合格的劳动防护用品、安全用具。</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2.若发生安全问题，由中标方（施工单位）自行负责处理并承担一切经济和法律责任，其与招标单位一切无关，同时按合同要求保证施工进度，按时完工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outlineLvl w:val="9"/>
      </w:pPr>
      <w:r>
        <w:rPr>
          <w:rFonts w:hint="eastAsia" w:ascii="宋体" w:hAnsi="宋体" w:cs="宋体"/>
          <w:b/>
          <w:bCs/>
          <w:color w:val="000000"/>
          <w:sz w:val="24"/>
          <w:szCs w:val="24"/>
          <w:lang w:val="en-US" w:eastAsia="zh-CN" w:bidi="ar-SA"/>
        </w:rPr>
        <w:t xml:space="preserve">五</w:t>
      </w:r>
      <w:r>
        <w:rPr>
          <w:rFonts w:hint="eastAsia" w:ascii="宋体" w:hAnsi="宋体" w:eastAsia="宋体" w:cs="宋体"/>
          <w:b/>
          <w:bCs/>
          <w:color w:val="000000"/>
          <w:sz w:val="24"/>
          <w:szCs w:val="24"/>
          <w:lang w:val="en-US" w:eastAsia="zh-CN" w:bidi="ar-SA"/>
        </w:rPr>
        <w:t xml:space="preserve">、项目实施、进度要求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建设工期、进度要求：本项目最低要求建设周期为：中标单位与采购方签订合同后3个月内供货到采购人指定地点完成安装，并经采购人验收合格。投标人应制订详实可行的项目实施进度计划和项目时间表以及各阶段的实施计划和人员配置表，包括时间安排、人力资源配置等，当计划与实际进度发生偏离时，应主动采取纠偏措施，确保项目工作始终按计划执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项目实施进度要求：（1）项目整体实施方案，应包含系统开发等各阶段的具体实施方案，项目实施后，投标人应定期向采购人汇报项目进展状况，参加与项目有关的各类会议，提交项目周报、项目月报以及阶段性进展报告；项目验收方案，包括技术文档移交等内容的阐述。（2）应提供项目组人员组成及人员简介、具体工作内容等。项目组人员调整须提前1周与采购人协商，并征得采购人同意。 </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六</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pStyle w:val="890"/>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Times New Roman"/>
          <w:i w:val="0"/>
          <w:iCs w:val="0"/>
          <w:color w:val="000000"/>
          <w:sz w:val="24"/>
          <w:szCs w:val="24"/>
          <w:u w:val="none"/>
          <w:lang w:val="en-US" w:eastAsia="zh-CN"/>
        </w:rPr>
        <w:t xml:space="preserve">1、合同履行期限：</w:t>
      </w:r>
      <w:r>
        <w:rPr>
          <w:rFonts w:hint="eastAsia" w:ascii="宋体" w:hAnsi="宋体" w:eastAsia="宋体" w:cs="宋体"/>
          <w:color w:val="000000"/>
          <w:sz w:val="24"/>
          <w:szCs w:val="24"/>
          <w:lang w:val="en-US" w:eastAsia="zh-CN" w:bidi="ar-SA"/>
        </w:rPr>
        <w:t xml:space="preserve">中标单位与采购方签订合同后</w:t>
      </w:r>
      <w:r>
        <w:rPr>
          <w:rFonts w:hint="eastAsia" w:ascii="宋体" w:hAnsi="宋体" w:cs="宋体"/>
          <w:color w:val="000000"/>
          <w:sz w:val="24"/>
          <w:szCs w:val="24"/>
          <w:lang w:val="en-US" w:eastAsia="zh-CN" w:bidi="ar-SA"/>
        </w:rPr>
        <w:t xml:space="preserve">三个月</w:t>
      </w:r>
      <w:r>
        <w:rPr>
          <w:rFonts w:hint="eastAsia" w:ascii="宋体" w:hAnsi="宋体" w:eastAsia="宋体" w:cs="宋体"/>
          <w:color w:val="000000"/>
          <w:sz w:val="24"/>
          <w:szCs w:val="24"/>
          <w:lang w:val="en-US" w:eastAsia="zh-CN" w:bidi="ar-SA"/>
        </w:rPr>
        <w:t xml:space="preserve">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七</w:t>
      </w:r>
      <w:bookmarkStart w:id="188" w:name="_GoBack"/>
      <w:r/>
      <w:bookmarkEnd w:id="188"/>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项目验收合格后付至合同总价款的70%；验收合格满一年后付至合同总价款的90%；验收合格满三年后，无质量、服务问题一次性付清余款（无息）。</w:t>
      </w:r>
      <w:r/>
    </w:p>
    <w:p>
      <w:pPr>
        <w:pStyle w:val="898"/>
        <w:ind w:firstLine="560"/>
        <w:rPr>
          <w:rFonts w:hint="eastAsia" w:hAnsi="宋体" w:asciiTheme="minorHAnsi" w:eastAsiaTheme="minorEastAsia" w:cstheme="minorBidi"/>
          <w:bCs/>
          <w:sz w:val="28"/>
          <w:szCs w:val="28"/>
          <w:lang w:val="en-US" w:eastAsia="zh-CN" w:bidi="ar-SA"/>
        </w:rPr>
      </w:pPr>
      <w:r>
        <w:rPr>
          <w:rFonts w:hint="eastAsia" w:hAnsi="宋体" w:asciiTheme="minorHAnsi" w:eastAsiaTheme="minorEastAsia" w:cstheme="minorBidi"/>
          <w:bCs/>
          <w:sz w:val="28"/>
          <w:szCs w:val="28"/>
          <w:lang w:val="en-US" w:eastAsia="zh-CN" w:bidi="ar-SA"/>
        </w:rPr>
      </w:r>
      <w:r/>
    </w:p>
    <w:p>
      <w:pPr>
        <w:pStyle w:val="898"/>
        <w:ind w:firstLine="560"/>
        <w:rPr>
          <w:rFonts w:hint="eastAsia" w:hAnsi="宋体" w:asciiTheme="minorHAnsi" w:eastAsiaTheme="minorEastAsia" w:cstheme="minorBidi"/>
          <w:bCs/>
          <w:sz w:val="28"/>
          <w:szCs w:val="28"/>
          <w:lang w:val="en-US" w:eastAsia="zh-CN" w:bidi="ar-SA"/>
        </w:rPr>
      </w:pPr>
      <w:r>
        <w:rPr>
          <w:rFonts w:hint="eastAsia" w:hAnsi="宋体" w:asciiTheme="minorHAnsi" w:eastAsiaTheme="minorEastAsia" w:cstheme="minorBidi"/>
          <w:bCs/>
          <w:sz w:val="28"/>
          <w:szCs w:val="28"/>
          <w:lang w:val="en-US" w:eastAsia="zh-CN" w:bidi="ar-SA"/>
        </w:rPr>
        <w:t xml:space="preserve">我公司承诺响应上述项目需求内容。</w:t>
      </w:r>
      <w:r/>
    </w:p>
    <w:p>
      <w:pPr>
        <w:pStyle w:val="898"/>
        <w:ind w:firstLine="560"/>
        <w:rPr>
          <w:rFonts w:hint="eastAsia" w:ascii="宋体" w:hAnsi="宋体" w:eastAsia="宋体" w:cs="Times New Roman"/>
          <w:i/>
          <w:iCs/>
          <w:color w:val="000000"/>
          <w:sz w:val="24"/>
          <w:szCs w:val="24"/>
          <w:u w:val="single"/>
          <w:lang w:val="en-US" w:eastAsia="zh-CN" w:bidi="ar-SA"/>
        </w:rPr>
      </w:pPr>
      <w:r>
        <w:rPr>
          <w:rFonts w:hint="eastAsia" w:ascii="宋体" w:hAnsi="宋体" w:eastAsia="宋体" w:cs="Times New Roman"/>
          <w:i/>
          <w:iCs/>
          <w:color w:val="000000"/>
          <w:sz w:val="24"/>
          <w:szCs w:val="24"/>
          <w:u w:val="single"/>
          <w:lang w:val="en-US" w:eastAsia="zh-CN" w:bidi="ar-SA"/>
        </w:rPr>
      </w:r>
      <w:r/>
    </w:p>
    <w:p>
      <w:pPr>
        <w:pStyle w:val="898"/>
        <w:ind w:firstLine="56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887"/>
        <w:ind w:left="0" w:right="0" w:firstLine="4340"/>
        <w:spacing w:line="560" w:lineRule="exact"/>
        <w:rPr>
          <w:rFonts w:hAnsi="宋体"/>
          <w:bCs/>
          <w:sz w:val="28"/>
          <w:szCs w:val="28"/>
        </w:rPr>
      </w:pPr>
      <w:r>
        <w:rPr>
          <w:rFonts w:hint="eastAsia" w:hAnsi="宋体"/>
          <w:bCs/>
          <w:sz w:val="28"/>
          <w:szCs w:val="28"/>
        </w:rPr>
        <w:t xml:space="preserve">日期：</w:t>
      </w:r>
      <w:r>
        <w:rPr>
          <w:rFonts w:hAnsi="宋体"/>
          <w:bCs/>
          <w:sz w:val="28"/>
          <w:szCs w:val="28"/>
          <w:u w:val="single"/>
        </w:rPr>
        <w:t xml:space="preserve">      </w:t>
      </w:r>
      <w:r>
        <w:rPr>
          <w:rFonts w:hint="eastAsia" w:hAnsi="宋体"/>
          <w:bCs/>
          <w:sz w:val="28"/>
          <w:szCs w:val="28"/>
        </w:rPr>
        <w:t xml:space="preserve">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日</w:t>
      </w:r>
      <w:r/>
    </w:p>
    <w:p>
      <w:pPr>
        <w:pStyle w:val="890"/>
        <w:jc w:val="center"/>
        <w:spacing w:beforeAutospacing="0" w:afterAutospacing="0"/>
      </w:pPr>
      <w:r>
        <w:t xml:space="preserve"> </w:t>
      </w:r>
      <w:r/>
    </w:p>
    <w:p>
      <w:pPr>
        <w:pStyle w:val="890"/>
        <w:jc w:val="center"/>
        <w:spacing w:beforeAutospacing="0" w:afterAutospacing="0"/>
      </w:pPr>
      <w:r>
        <w:t xml:space="preserve"> </w:t>
      </w:r>
      <w:r/>
    </w:p>
    <w:p>
      <w:pPr>
        <w:pStyle w:val="890"/>
        <w:jc w:val="center"/>
        <w:spacing w:beforeAutospacing="0" w:afterAutospacing="0"/>
      </w:pPr>
      <w:r>
        <w:t xml:space="preserve"> </w:t>
      </w:r>
      <w:r/>
    </w:p>
    <w:p>
      <w:pPr>
        <w:pStyle w:val="890"/>
        <w:jc w:val="center"/>
        <w:spacing w:beforeAutospacing="0" w:afterAutospacing="0"/>
      </w:pPr>
      <w:r/>
      <w:r/>
    </w:p>
    <w:p>
      <w:pPr>
        <w:pStyle w:val="890"/>
        <w:jc w:val="center"/>
        <w:spacing w:beforeAutospacing="0" w:afterAutospacing="0"/>
      </w:pPr>
      <w:r/>
      <w:r/>
    </w:p>
    <w:p>
      <w:pPr>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十五、项目组成员、服务方案等材料</w:t>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t xml:space="preserve">十六、开标一览表</w:t>
      </w:r>
      <w:r/>
    </w:p>
    <w:p>
      <w:pPr>
        <w:pStyle w:val="89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p>
    <w:p>
      <w:pPr>
        <w:pStyle w:val="89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w:t>
      </w:r>
      <w:r/>
    </w:p>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  </w:t>
      </w:r>
      <w:r/>
    </w:p>
    <w:tbl>
      <w:tblPr>
        <w:tblStyle w:val="885"/>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866"/>
        <w:gridCol w:w="5340"/>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 </w:t>
            </w:r>
            <w:r/>
          </w:p>
        </w:tc>
      </w:tr>
    </w:tbl>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十七、盐城市政府采购事前信用承诺书</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p>
    <w:p>
      <w:pPr>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pStyle w:val="895"/>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pStyle w:val="89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166"/>
      <w:r/>
      <w:bookmarkEnd w:id="172"/>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895"/>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9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9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9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9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keepLines w:val="0"/>
        <w:keepNext w:val="0"/>
        <w:spacing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4"/>
    <w:link w:val="883"/>
    <w:uiPriority w:val="9"/>
    <w:rPr>
      <w:rFonts w:ascii="Arial" w:hAnsi="Arial" w:eastAsia="Arial" w:cs="Arial"/>
      <w:sz w:val="40"/>
      <w:szCs w:val="40"/>
    </w:rPr>
  </w:style>
  <w:style w:type="paragraph" w:styleId="708">
    <w:name w:val="Heading 2"/>
    <w:basedOn w:val="882"/>
    <w:next w:val="882"/>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basedOn w:val="884"/>
    <w:link w:val="708"/>
    <w:uiPriority w:val="9"/>
    <w:rPr>
      <w:rFonts w:ascii="Arial" w:hAnsi="Arial" w:eastAsia="Arial" w:cs="Arial"/>
      <w:sz w:val="34"/>
    </w:rPr>
  </w:style>
  <w:style w:type="paragraph" w:styleId="710">
    <w:name w:val="Heading 3"/>
    <w:basedOn w:val="882"/>
    <w:next w:val="882"/>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4"/>
    <w:link w:val="710"/>
    <w:uiPriority w:val="9"/>
    <w:rPr>
      <w:rFonts w:ascii="Arial" w:hAnsi="Arial" w:eastAsia="Arial" w:cs="Arial"/>
      <w:sz w:val="30"/>
      <w:szCs w:val="30"/>
    </w:rPr>
  </w:style>
  <w:style w:type="paragraph" w:styleId="712">
    <w:name w:val="Heading 4"/>
    <w:basedOn w:val="882"/>
    <w:next w:val="882"/>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4"/>
    <w:link w:val="712"/>
    <w:uiPriority w:val="9"/>
    <w:rPr>
      <w:rFonts w:ascii="Arial" w:hAnsi="Arial" w:eastAsia="Arial" w:cs="Arial"/>
      <w:b/>
      <w:bCs/>
      <w:sz w:val="26"/>
      <w:szCs w:val="26"/>
    </w:rPr>
  </w:style>
  <w:style w:type="paragraph" w:styleId="714">
    <w:name w:val="Heading 5"/>
    <w:basedOn w:val="882"/>
    <w:next w:val="882"/>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4"/>
    <w:link w:val="714"/>
    <w:uiPriority w:val="9"/>
    <w:rPr>
      <w:rFonts w:ascii="Arial" w:hAnsi="Arial" w:eastAsia="Arial" w:cs="Arial"/>
      <w:b/>
      <w:bCs/>
      <w:sz w:val="24"/>
      <w:szCs w:val="24"/>
    </w:rPr>
  </w:style>
  <w:style w:type="paragraph" w:styleId="716">
    <w:name w:val="Heading 6"/>
    <w:basedOn w:val="882"/>
    <w:next w:val="882"/>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4"/>
    <w:link w:val="716"/>
    <w:uiPriority w:val="9"/>
    <w:rPr>
      <w:rFonts w:ascii="Arial" w:hAnsi="Arial" w:eastAsia="Arial" w:cs="Arial"/>
      <w:b/>
      <w:bCs/>
      <w:sz w:val="22"/>
      <w:szCs w:val="22"/>
    </w:rPr>
  </w:style>
  <w:style w:type="paragraph" w:styleId="718">
    <w:name w:val="Heading 7"/>
    <w:basedOn w:val="882"/>
    <w:next w:val="882"/>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4"/>
    <w:link w:val="718"/>
    <w:uiPriority w:val="9"/>
    <w:rPr>
      <w:rFonts w:ascii="Arial" w:hAnsi="Arial" w:eastAsia="Arial" w:cs="Arial"/>
      <w:b/>
      <w:bCs/>
      <w:i/>
      <w:iCs/>
      <w:sz w:val="22"/>
      <w:szCs w:val="22"/>
    </w:rPr>
  </w:style>
  <w:style w:type="paragraph" w:styleId="720">
    <w:name w:val="Heading 8"/>
    <w:basedOn w:val="882"/>
    <w:next w:val="882"/>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4"/>
    <w:link w:val="720"/>
    <w:uiPriority w:val="9"/>
    <w:rPr>
      <w:rFonts w:ascii="Arial" w:hAnsi="Arial" w:eastAsia="Arial" w:cs="Arial"/>
      <w:i/>
      <w:iCs/>
      <w:sz w:val="22"/>
      <w:szCs w:val="22"/>
    </w:rPr>
  </w:style>
  <w:style w:type="paragraph" w:styleId="722">
    <w:name w:val="Heading 9"/>
    <w:basedOn w:val="882"/>
    <w:next w:val="882"/>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4"/>
    <w:link w:val="722"/>
    <w:uiPriority w:val="9"/>
    <w:rPr>
      <w:rFonts w:ascii="Arial" w:hAnsi="Arial" w:eastAsia="Arial" w:cs="Arial"/>
      <w:i/>
      <w:iCs/>
      <w:sz w:val="21"/>
      <w:szCs w:val="21"/>
    </w:rPr>
  </w:style>
  <w:style w:type="paragraph" w:styleId="724">
    <w:name w:val="List Paragraph"/>
    <w:basedOn w:val="882"/>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2"/>
    <w:next w:val="882"/>
    <w:link w:val="727"/>
    <w:uiPriority w:val="10"/>
    <w:qFormat/>
    <w:pPr>
      <w:contextualSpacing/>
      <w:spacing w:before="300" w:after="200"/>
    </w:pPr>
    <w:rPr>
      <w:sz w:val="48"/>
      <w:szCs w:val="48"/>
    </w:rPr>
  </w:style>
  <w:style w:type="character" w:styleId="727">
    <w:name w:val="Title Char"/>
    <w:basedOn w:val="884"/>
    <w:link w:val="726"/>
    <w:uiPriority w:val="10"/>
    <w:rPr>
      <w:sz w:val="48"/>
      <w:szCs w:val="48"/>
    </w:rPr>
  </w:style>
  <w:style w:type="paragraph" w:styleId="728">
    <w:name w:val="Subtitle"/>
    <w:basedOn w:val="882"/>
    <w:next w:val="882"/>
    <w:link w:val="729"/>
    <w:uiPriority w:val="11"/>
    <w:qFormat/>
    <w:pPr>
      <w:spacing w:before="200" w:after="200"/>
    </w:pPr>
    <w:rPr>
      <w:sz w:val="24"/>
      <w:szCs w:val="24"/>
    </w:rPr>
  </w:style>
  <w:style w:type="character" w:styleId="729">
    <w:name w:val="Subtitle Char"/>
    <w:basedOn w:val="884"/>
    <w:link w:val="728"/>
    <w:uiPriority w:val="11"/>
    <w:rPr>
      <w:sz w:val="24"/>
      <w:szCs w:val="24"/>
    </w:rPr>
  </w:style>
  <w:style w:type="paragraph" w:styleId="730">
    <w:name w:val="Quote"/>
    <w:basedOn w:val="882"/>
    <w:next w:val="882"/>
    <w:link w:val="731"/>
    <w:uiPriority w:val="29"/>
    <w:qFormat/>
    <w:pPr>
      <w:ind w:left="720" w:right="720"/>
    </w:pPr>
    <w:rPr>
      <w:i/>
    </w:rPr>
  </w:style>
  <w:style w:type="character" w:styleId="731">
    <w:name w:val="Quote Char"/>
    <w:link w:val="730"/>
    <w:uiPriority w:val="29"/>
    <w:rPr>
      <w:i/>
    </w:rPr>
  </w:style>
  <w:style w:type="paragraph" w:styleId="732">
    <w:name w:val="Intense Quote"/>
    <w:basedOn w:val="882"/>
    <w:next w:val="882"/>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4"/>
    <w:link w:val="889"/>
    <w:uiPriority w:val="99"/>
  </w:style>
  <w:style w:type="character" w:styleId="735">
    <w:name w:val="Footer Char"/>
    <w:basedOn w:val="884"/>
    <w:link w:val="888"/>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888"/>
    <w:uiPriority w:val="99"/>
  </w:style>
  <w:style w:type="table" w:styleId="738">
    <w:name w:val="Table Grid"/>
    <w:basedOn w:val="88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5">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6">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7">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8">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9">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0">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0">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1">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2">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3">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4">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5">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8">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9">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0">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1">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2">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1">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2">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3">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4">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5">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6">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8">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9">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0">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1">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2">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3">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5">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6">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7">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8">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9">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0">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4"/>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4"/>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83">
    <w:name w:val="Heading 1"/>
    <w:basedOn w:val="882"/>
    <w:next w:val="882"/>
    <w:uiPriority w:val="9"/>
    <w:qFormat/>
    <w:pPr>
      <w:keepLines/>
      <w:keepNext/>
      <w:spacing w:before="480" w:after="200"/>
      <w:outlineLvl w:val="0"/>
    </w:pPr>
    <w:rPr>
      <w:rFonts w:ascii="Arial" w:hAnsi="Arial" w:eastAsia="Arial" w:cs="Arial"/>
      <w:sz w:val="40"/>
      <w:szCs w:val="40"/>
    </w:rPr>
  </w:style>
  <w:style w:type="character" w:styleId="884" w:default="1">
    <w:name w:val="Default Paragraph Font"/>
    <w:uiPriority w:val="0"/>
    <w:semiHidden/>
    <w:qFormat/>
  </w:style>
  <w:style w:type="table" w:styleId="885" w:default="1">
    <w:name w:val="Normal Table"/>
    <w:uiPriority w:val="0"/>
    <w:semiHidden/>
    <w:qFormat/>
    <w:tblPr>
      <w:tblCellMar>
        <w:left w:w="108" w:type="dxa"/>
        <w:top w:w="0" w:type="dxa"/>
        <w:right w:w="108" w:type="dxa"/>
        <w:bottom w:w="0" w:type="dxa"/>
      </w:tblCellMar>
    </w:tblPr>
  </w:style>
  <w:style w:type="paragraph" w:styleId="886">
    <w:name w:val="Body Text"/>
    <w:basedOn w:val="882"/>
    <w:next w:val="882"/>
    <w:uiPriority w:val="0"/>
    <w:qFormat/>
    <w:pPr>
      <w:spacing w:after="120"/>
    </w:pPr>
    <w:rPr>
      <w:szCs w:val="20"/>
    </w:rPr>
  </w:style>
  <w:style w:type="paragraph" w:styleId="887">
    <w:name w:val="Block Text"/>
    <w:basedOn w:val="882"/>
    <w:next w:val="882"/>
    <w:uiPriority w:val="0"/>
    <w:qFormat/>
    <w:pPr>
      <w:ind w:left="420" w:right="33"/>
      <w:jc w:val="left"/>
    </w:pPr>
    <w:rPr>
      <w:sz w:val="24"/>
    </w:rPr>
  </w:style>
  <w:style w:type="paragraph" w:styleId="888">
    <w:name w:val="Footer"/>
    <w:basedOn w:val="882"/>
    <w:next w:val="882"/>
    <w:uiPriority w:val="0"/>
    <w:qFormat/>
    <w:pPr>
      <w:jc w:val="left"/>
      <w:tabs>
        <w:tab w:val="center" w:pos="4153" w:leader="none"/>
        <w:tab w:val="right" w:pos="8306" w:leader="none"/>
      </w:tabs>
    </w:pPr>
    <w:rPr>
      <w:sz w:val="18"/>
    </w:rPr>
  </w:style>
  <w:style w:type="paragraph" w:styleId="889">
    <w:name w:val="Header"/>
    <w:basedOn w:val="88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0">
    <w:name w:val="Normal (Web)"/>
    <w:basedOn w:val="882"/>
    <w:uiPriority w:val="0"/>
    <w:qFormat/>
    <w:pPr>
      <w:jc w:val="left"/>
      <w:spacing w:beforeAutospacing="1" w:afterAutospacing="1"/>
    </w:pPr>
    <w:rPr>
      <w:rFonts w:cs="Times New Roman"/>
      <w:sz w:val="24"/>
    </w:rPr>
  </w:style>
  <w:style w:type="character" w:styleId="891" w:customStyle="1">
    <w:name w:val="font11"/>
    <w:basedOn w:val="884"/>
    <w:uiPriority w:val="0"/>
    <w:qFormat/>
    <w:rPr>
      <w:rFonts w:hint="eastAsia" w:ascii="宋体" w:hAnsi="宋体" w:eastAsia="宋体" w:cs="宋体"/>
      <w:color w:val="000000"/>
      <w:sz w:val="28"/>
      <w:szCs w:val="28"/>
      <w:u w:val="none"/>
    </w:rPr>
  </w:style>
  <w:style w:type="character" w:styleId="892" w:customStyle="1">
    <w:name w:val="font91"/>
    <w:basedOn w:val="884"/>
    <w:uiPriority w:val="0"/>
    <w:qFormat/>
    <w:rPr>
      <w:rFonts w:hint="eastAsia" w:ascii="宋体" w:hAnsi="宋体" w:eastAsia="宋体" w:cs="宋体"/>
      <w:color w:val="000000"/>
      <w:sz w:val="28"/>
      <w:szCs w:val="28"/>
      <w:u w:val="none"/>
      <w:vertAlign w:val="superscript"/>
    </w:rPr>
  </w:style>
  <w:style w:type="character" w:styleId="893" w:customStyle="1">
    <w:name w:val="font41"/>
    <w:basedOn w:val="884"/>
    <w:uiPriority w:val="0"/>
    <w:qFormat/>
    <w:rPr>
      <w:rFonts w:hint="eastAsia" w:ascii="宋体" w:hAnsi="宋体" w:eastAsia="宋体" w:cs="宋体"/>
      <w:color w:val="000000"/>
      <w:sz w:val="28"/>
      <w:szCs w:val="28"/>
      <w:u w:val="none"/>
    </w:rPr>
  </w:style>
  <w:style w:type="character" w:styleId="894" w:customStyle="1">
    <w:name w:val="font101"/>
    <w:basedOn w:val="884"/>
    <w:uiPriority w:val="0"/>
    <w:qFormat/>
    <w:rPr>
      <w:rFonts w:hint="eastAsia" w:ascii="宋体" w:hAnsi="宋体" w:eastAsia="宋体" w:cs="宋体"/>
      <w:color w:val="000000"/>
      <w:sz w:val="28"/>
      <w:szCs w:val="28"/>
      <w:u w:val="none"/>
      <w:vertAlign w:val="superscript"/>
    </w:rPr>
  </w:style>
  <w:style w:type="paragraph" w:styleId="895" w:customStyle="1">
    <w:name w:val="普通(网站)1"/>
    <w:basedOn w:val="882"/>
    <w:uiPriority w:val="0"/>
    <w:qFormat/>
    <w:pPr>
      <w:jc w:val="left"/>
      <w:spacing w:beforeAutospacing="1" w:afterAutospacing="1"/>
    </w:pPr>
    <w:rPr>
      <w:rFonts w:cs="Times New Roman"/>
      <w:sz w:val="24"/>
    </w:rPr>
  </w:style>
  <w:style w:type="paragraph" w:styleId="896" w:customStyle="1">
    <w:name w:val="标题 21"/>
    <w:basedOn w:val="882"/>
    <w:next w:val="882"/>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97" w:customStyle="1">
    <w:name w:val="Default"/>
    <w:basedOn w:val="882"/>
    <w:uiPriority w:val="0"/>
    <w:semiHidden/>
    <w:qFormat/>
    <w:pPr>
      <w:jc w:val="left"/>
    </w:pPr>
    <w:rPr>
      <w:rFonts w:ascii="宋体" w:hAnsi="Calibri" w:cs="宋体"/>
      <w:color w:val="000000"/>
      <w:sz w:val="24"/>
    </w:rPr>
  </w:style>
  <w:style w:type="paragraph" w:styleId="898" w:customStyle="1">
    <w:name w:val="正文空2格  1."/>
    <w:basedOn w:val="882"/>
    <w:uiPriority w:val="0"/>
    <w:qFormat/>
    <w:pPr>
      <w:ind w:firstLine="480"/>
      <w:spacing w:line="360" w:lineRule="auto"/>
    </w:pPr>
    <w:rPr>
      <w:rFonts w:ascii="宋体" w:eastAsia="仿宋" w:cs="宋体"/>
    </w:rPr>
  </w:style>
  <w:style w:type="paragraph" w:styleId="899" w:customStyle="1">
    <w:name w:val="页脚1"/>
    <w:basedOn w:val="882"/>
    <w:uiPriority w:val="99"/>
    <w:unhideWhenUsed/>
    <w:qFormat/>
    <w:pPr>
      <w:jc w:val="left"/>
      <w:tabs>
        <w:tab w:val="center" w:pos="4153" w:leader="none"/>
        <w:tab w:val="right" w:pos="8306" w:leader="none"/>
      </w:tabs>
    </w:pPr>
    <w:rPr>
      <w:sz w:val="18"/>
      <w:szCs w:val="18"/>
    </w:rPr>
  </w:style>
  <w:style w:type="character" w:styleId="900" w:customStyle="1">
    <w:name w:val="font01"/>
    <w:basedOn w:val="884"/>
    <w:uiPriority w:val="0"/>
    <w:qFormat/>
    <w:rPr>
      <w:rFonts w:hint="eastAsia" w:ascii="宋体" w:hAnsi="宋体" w:eastAsia="宋体" w:cs="宋体"/>
      <w:color w:val="000000"/>
      <w:sz w:val="22"/>
      <w:szCs w:val="22"/>
      <w:u w:val="none"/>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刘坚</dc:creator>
  <cp:lastModifiedBy>彭明静</cp:lastModifiedBy>
  <cp:revision>3</cp:revision>
  <dcterms:created xsi:type="dcterms:W3CDTF">2026-05-12T00:50:00Z</dcterms:created>
  <dcterms:modified xsi:type="dcterms:W3CDTF">2026-06-17T09:28:53Z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A38FD55DEC29473AB1166EB3CA3E5FC4_11</vt:lpwstr>
  </property>
  <property fmtid="{D5CDD505-2E9C-101B-9397-08002B2CF9AE}" pid="4" name="KSOTemplateDocerSaveRecord">
    <vt:lpwstr>eyJoZGlkIjoiOWM3ZjgyZWI3YTBmYjAwNGQwNDQzZDUyNDIzMzA0ZWYiLCJ1c2VySWQiOiIxNzM0NDIxMTMzIn0=</vt:lpwstr>
  </property>
</Properties>
</file>